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6C1F69EA"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D93BB26" w:rsidR="00D07095" w:rsidRPr="00402C3E" w:rsidRDefault="00F67F1F" w:rsidP="004005B5">
      <w:pPr>
        <w:pStyle w:val="Heading"/>
        <w:tabs>
          <w:tab w:val="left" w:pos="0"/>
        </w:tabs>
        <w:spacing w:before="0" w:after="0"/>
        <w:ind w:firstLine="1"/>
        <w:rPr>
          <w:sz w:val="22"/>
          <w:szCs w:val="22"/>
        </w:rPr>
      </w:pPr>
      <w:r>
        <w:rPr>
          <w:szCs w:val="22"/>
        </w:rPr>
        <w:t>INT-004-3.1</w:t>
      </w:r>
      <w:r w:rsidR="0043375A" w:rsidRPr="00F548BE">
        <w:rPr>
          <w:szCs w:val="22"/>
        </w:rPr>
        <w:t xml:space="preserve"> – </w:t>
      </w:r>
      <w:r w:rsidR="006E7ED6">
        <w:rPr>
          <w:szCs w:val="22"/>
        </w:rPr>
        <w:t>Dynamic Transfers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EE246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EE246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EE246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EE246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6B2CC621"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1FB7CA27"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755C27B5"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8E647C5"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4643AF1C" w:rsidR="003E1E03" w:rsidRPr="00171071" w:rsidRDefault="00356DF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2648FF" w:rsidRPr="00171071" w14:paraId="27041F40" w14:textId="77777777" w:rsidTr="00FE4A7A">
        <w:tc>
          <w:tcPr>
            <w:tcW w:w="605" w:type="dxa"/>
            <w:shd w:val="clear" w:color="auto" w:fill="DCDCFF"/>
          </w:tcPr>
          <w:p w14:paraId="249EF009" w14:textId="76F22107" w:rsidR="002648FF" w:rsidRPr="00171071" w:rsidRDefault="002648FF" w:rsidP="000B0E7C">
            <w:pPr>
              <w:rPr>
                <w:rFonts w:asciiTheme="minorHAnsi" w:hAnsiTheme="minorHAnsi"/>
                <w:b/>
                <w:sz w:val="20"/>
                <w:szCs w:val="20"/>
              </w:rPr>
            </w:pPr>
            <w:r>
              <w:rPr>
                <w:rFonts w:asciiTheme="minorHAnsi" w:hAnsiTheme="minorHAnsi"/>
                <w:b/>
                <w:sz w:val="20"/>
                <w:szCs w:val="20"/>
              </w:rPr>
              <w:t>R2</w:t>
            </w:r>
          </w:p>
        </w:tc>
        <w:tc>
          <w:tcPr>
            <w:tcW w:w="605" w:type="dxa"/>
            <w:shd w:val="clear" w:color="auto" w:fill="DCDCFF"/>
          </w:tcPr>
          <w:p w14:paraId="006B5DB8" w14:textId="68D30BB0" w:rsidR="002648FF" w:rsidRPr="00171071" w:rsidRDefault="002648FF" w:rsidP="00171071">
            <w:pPr>
              <w:jc w:val="center"/>
              <w:rPr>
                <w:rFonts w:asciiTheme="minorHAnsi" w:hAnsiTheme="minorHAnsi"/>
                <w:sz w:val="20"/>
                <w:szCs w:val="20"/>
              </w:rPr>
            </w:pPr>
          </w:p>
        </w:tc>
        <w:tc>
          <w:tcPr>
            <w:tcW w:w="605" w:type="dxa"/>
            <w:shd w:val="clear" w:color="auto" w:fill="DCDCFF"/>
          </w:tcPr>
          <w:p w14:paraId="31F70428"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6C6741BB"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5051880C"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62DD262C"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590E62D0"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17F1B6EF"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2F039B7C" w14:textId="1E9E6C50" w:rsidR="002648FF" w:rsidRPr="00171071" w:rsidRDefault="003771E5"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870A16A"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53ED3048"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4D620CA7"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458C3BFC"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2FE5F9CE"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24AD23B6"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213FC8B9" w14:textId="77777777" w:rsidR="002648FF" w:rsidRPr="00171071" w:rsidRDefault="002648FF" w:rsidP="00171071">
            <w:pPr>
              <w:jc w:val="center"/>
              <w:rPr>
                <w:rFonts w:asciiTheme="minorHAnsi" w:hAnsiTheme="minorHAnsi"/>
                <w:sz w:val="20"/>
                <w:szCs w:val="20"/>
              </w:rPr>
            </w:pPr>
          </w:p>
        </w:tc>
      </w:tr>
      <w:tr w:rsidR="002648FF" w:rsidRPr="00171071" w14:paraId="65F61628" w14:textId="77777777" w:rsidTr="00FE4A7A">
        <w:tc>
          <w:tcPr>
            <w:tcW w:w="605" w:type="dxa"/>
            <w:shd w:val="clear" w:color="auto" w:fill="DCDCFF"/>
          </w:tcPr>
          <w:p w14:paraId="18786D8A" w14:textId="41E9F13E" w:rsidR="002648FF" w:rsidRPr="00171071" w:rsidRDefault="002648FF" w:rsidP="000B0E7C">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5F0F0998" w14:textId="4A4C98B9" w:rsidR="002648FF" w:rsidRPr="00171071" w:rsidRDefault="00CE246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EEFEA7A"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3503377E"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5774A933"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318BEDDC"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6030CCB7"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4B2A605F"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33BFF8D3"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66B98819"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76A711ED"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0267B20E"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5F26676D"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5F5A9E1C"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32707D07" w14:textId="77777777" w:rsidR="002648FF" w:rsidRPr="00171071" w:rsidRDefault="002648FF" w:rsidP="00171071">
            <w:pPr>
              <w:jc w:val="center"/>
              <w:rPr>
                <w:rFonts w:asciiTheme="minorHAnsi" w:hAnsiTheme="minorHAnsi"/>
                <w:sz w:val="20"/>
                <w:szCs w:val="20"/>
              </w:rPr>
            </w:pPr>
          </w:p>
        </w:tc>
        <w:tc>
          <w:tcPr>
            <w:tcW w:w="605" w:type="dxa"/>
            <w:shd w:val="clear" w:color="auto" w:fill="DCDCFF"/>
          </w:tcPr>
          <w:p w14:paraId="20793BC1" w14:textId="77777777" w:rsidR="002648FF" w:rsidRPr="00171071" w:rsidRDefault="002648FF"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81446B">
        <w:tc>
          <w:tcPr>
            <w:tcW w:w="735" w:type="dxa"/>
            <w:tcBorders>
              <w:bottom w:val="single" w:sz="4" w:space="0" w:color="auto"/>
            </w:tcBorders>
            <w:shd w:val="clear" w:color="auto" w:fill="DCDCFF"/>
          </w:tcPr>
          <w:p w14:paraId="74A72C6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2648FF">
        <w:tc>
          <w:tcPr>
            <w:tcW w:w="735" w:type="dxa"/>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EE2461">
            <w:pPr>
              <w:widowControl w:val="0"/>
              <w:rPr>
                <w:rFonts w:asciiTheme="minorHAnsi" w:hAnsiTheme="minorHAnsi" w:cs="Times New Roman"/>
                <w:bCs/>
                <w:color w:val="auto"/>
                <w:sz w:val="22"/>
                <w:szCs w:val="22"/>
              </w:rPr>
            </w:pPr>
          </w:p>
        </w:tc>
      </w:tr>
      <w:tr w:rsidR="002648FF" w:rsidRPr="00705BB3" w14:paraId="46E14F7A" w14:textId="77777777" w:rsidTr="002648FF">
        <w:tc>
          <w:tcPr>
            <w:tcW w:w="735" w:type="dxa"/>
            <w:shd w:val="clear" w:color="auto" w:fill="DCDCFF"/>
            <w:vAlign w:val="center"/>
          </w:tcPr>
          <w:p w14:paraId="6661C86C" w14:textId="446A119D" w:rsidR="002648FF" w:rsidRPr="00705BB3" w:rsidRDefault="002648FF"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R2</w:t>
            </w:r>
          </w:p>
        </w:tc>
        <w:tc>
          <w:tcPr>
            <w:tcW w:w="1422" w:type="dxa"/>
          </w:tcPr>
          <w:p w14:paraId="5052B964" w14:textId="77777777" w:rsidR="002648FF" w:rsidRPr="00705BB3" w:rsidRDefault="002648FF" w:rsidP="00EE2461">
            <w:pPr>
              <w:widowControl w:val="0"/>
              <w:rPr>
                <w:rFonts w:asciiTheme="minorHAnsi" w:hAnsiTheme="minorHAnsi" w:cs="Times New Roman"/>
                <w:bCs/>
                <w:color w:val="auto"/>
                <w:sz w:val="22"/>
                <w:szCs w:val="22"/>
              </w:rPr>
            </w:pPr>
          </w:p>
        </w:tc>
        <w:tc>
          <w:tcPr>
            <w:tcW w:w="6139" w:type="dxa"/>
          </w:tcPr>
          <w:p w14:paraId="109F0939" w14:textId="77777777" w:rsidR="002648FF" w:rsidRPr="00705BB3" w:rsidRDefault="002648FF" w:rsidP="00EE2461">
            <w:pPr>
              <w:widowControl w:val="0"/>
              <w:rPr>
                <w:rFonts w:asciiTheme="minorHAnsi" w:hAnsiTheme="minorHAnsi" w:cs="Times New Roman"/>
                <w:bCs/>
                <w:color w:val="auto"/>
                <w:sz w:val="22"/>
                <w:szCs w:val="22"/>
              </w:rPr>
            </w:pPr>
          </w:p>
        </w:tc>
        <w:tc>
          <w:tcPr>
            <w:tcW w:w="2494" w:type="dxa"/>
          </w:tcPr>
          <w:p w14:paraId="403185A8" w14:textId="77777777" w:rsidR="002648FF" w:rsidRPr="00705BB3" w:rsidRDefault="002648FF" w:rsidP="00EE2461">
            <w:pPr>
              <w:widowControl w:val="0"/>
              <w:rPr>
                <w:rFonts w:asciiTheme="minorHAnsi" w:hAnsiTheme="minorHAnsi" w:cs="Times New Roman"/>
                <w:bCs/>
                <w:color w:val="auto"/>
                <w:sz w:val="22"/>
                <w:szCs w:val="22"/>
              </w:rPr>
            </w:pPr>
          </w:p>
        </w:tc>
      </w:tr>
      <w:tr w:rsidR="002648FF" w:rsidRPr="00705BB3" w14:paraId="3AFE2F51" w14:textId="77777777" w:rsidTr="0081446B">
        <w:tc>
          <w:tcPr>
            <w:tcW w:w="735" w:type="dxa"/>
            <w:tcBorders>
              <w:bottom w:val="single" w:sz="4" w:space="0" w:color="auto"/>
            </w:tcBorders>
            <w:shd w:val="clear" w:color="auto" w:fill="DCDCFF"/>
            <w:vAlign w:val="center"/>
          </w:tcPr>
          <w:p w14:paraId="2456CCEF" w14:textId="3432900C" w:rsidR="002648FF" w:rsidRPr="00705BB3" w:rsidRDefault="002648FF"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3100BBBA" w14:textId="77777777" w:rsidR="002648FF" w:rsidRPr="00705BB3" w:rsidRDefault="002648FF" w:rsidP="00EE2461">
            <w:pPr>
              <w:widowControl w:val="0"/>
              <w:rPr>
                <w:rFonts w:asciiTheme="minorHAnsi" w:hAnsiTheme="minorHAnsi" w:cs="Times New Roman"/>
                <w:bCs/>
                <w:color w:val="auto"/>
                <w:sz w:val="22"/>
                <w:szCs w:val="22"/>
              </w:rPr>
            </w:pPr>
          </w:p>
        </w:tc>
        <w:tc>
          <w:tcPr>
            <w:tcW w:w="6139" w:type="dxa"/>
          </w:tcPr>
          <w:p w14:paraId="042E8C51" w14:textId="77777777" w:rsidR="002648FF" w:rsidRPr="00705BB3" w:rsidRDefault="002648FF" w:rsidP="00EE2461">
            <w:pPr>
              <w:widowControl w:val="0"/>
              <w:rPr>
                <w:rFonts w:asciiTheme="minorHAnsi" w:hAnsiTheme="minorHAnsi" w:cs="Times New Roman"/>
                <w:bCs/>
                <w:color w:val="auto"/>
                <w:sz w:val="22"/>
                <w:szCs w:val="22"/>
              </w:rPr>
            </w:pPr>
          </w:p>
        </w:tc>
        <w:tc>
          <w:tcPr>
            <w:tcW w:w="2494" w:type="dxa"/>
          </w:tcPr>
          <w:p w14:paraId="08C9A651" w14:textId="77777777" w:rsidR="002648FF" w:rsidRPr="00705BB3" w:rsidRDefault="002648FF" w:rsidP="00EE246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EE246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EE2461">
        <w:tc>
          <w:tcPr>
            <w:tcW w:w="738" w:type="dxa"/>
            <w:shd w:val="clear" w:color="auto" w:fill="DCDCFF"/>
          </w:tcPr>
          <w:p w14:paraId="1705AC1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EE2461">
        <w:tc>
          <w:tcPr>
            <w:tcW w:w="738" w:type="dxa"/>
          </w:tcPr>
          <w:p w14:paraId="5B0DDD23"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3F9C165E" w14:textId="77777777" w:rsidTr="00EE2461">
        <w:tc>
          <w:tcPr>
            <w:tcW w:w="738" w:type="dxa"/>
          </w:tcPr>
          <w:p w14:paraId="380628B4"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62C2AA85" w14:textId="77777777" w:rsidTr="00EE2461">
        <w:tc>
          <w:tcPr>
            <w:tcW w:w="738" w:type="dxa"/>
          </w:tcPr>
          <w:p w14:paraId="6212F2C8"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EE246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EE2461">
        <w:tc>
          <w:tcPr>
            <w:tcW w:w="738" w:type="dxa"/>
            <w:shd w:val="clear" w:color="auto" w:fill="DCDCFF"/>
          </w:tcPr>
          <w:p w14:paraId="6DDF3CDD"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EE2461">
        <w:tc>
          <w:tcPr>
            <w:tcW w:w="738" w:type="dxa"/>
          </w:tcPr>
          <w:p w14:paraId="045FC0FC"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4FB9D4F5" w14:textId="77777777" w:rsidTr="00EE2461">
        <w:tc>
          <w:tcPr>
            <w:tcW w:w="738" w:type="dxa"/>
          </w:tcPr>
          <w:p w14:paraId="119DFDB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710E0EA1" w14:textId="77777777" w:rsidTr="00EE2461">
        <w:tc>
          <w:tcPr>
            <w:tcW w:w="738" w:type="dxa"/>
          </w:tcPr>
          <w:p w14:paraId="272BA52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EE246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5AFE270D" w14:textId="7DB8D9DF" w:rsidR="006E7ED6" w:rsidRPr="006E7ED6" w:rsidRDefault="006E7ED6" w:rsidP="006E7ED6">
      <w:pPr>
        <w:numPr>
          <w:ilvl w:val="1"/>
          <w:numId w:val="28"/>
        </w:numPr>
        <w:tabs>
          <w:tab w:val="num" w:pos="396"/>
        </w:tabs>
        <w:autoSpaceDE/>
        <w:autoSpaceDN/>
        <w:adjustRightInd/>
        <w:spacing w:before="120"/>
        <w:ind w:left="0" w:firstLine="0"/>
        <w:rPr>
          <w:rFonts w:asciiTheme="minorHAnsi" w:hAnsiTheme="minorHAnsi"/>
          <w:bCs/>
        </w:rPr>
      </w:pPr>
      <w:bookmarkStart w:id="3" w:name="OLE_LINK1"/>
      <w:r w:rsidRPr="006E7ED6">
        <w:rPr>
          <w:rFonts w:asciiTheme="minorHAnsi" w:hAnsiTheme="minorHAnsi"/>
        </w:rPr>
        <w:t>Each Purchasing-Selling Entity that secures energy to serve Load via a Dynamic Schedule or Pseudo-Tie shall ensure that a Request for Interchange is submitted as an on-time</w:t>
      </w:r>
      <w:r w:rsidRPr="006E7ED6">
        <w:rPr>
          <w:rStyle w:val="FootnoteReference"/>
          <w:rFonts w:asciiTheme="minorHAnsi" w:hAnsiTheme="minorHAnsi"/>
        </w:rPr>
        <w:footnoteReference w:id="3"/>
      </w:r>
      <w:r w:rsidRPr="006E7ED6">
        <w:rPr>
          <w:rFonts w:asciiTheme="minorHAnsi" w:hAnsiTheme="minorHAnsi"/>
        </w:rPr>
        <w:t xml:space="preserve"> Arranged Interchange to the Sink Balancing Authority for that Dynamic Schedule or Pseudo-Tie,</w:t>
      </w:r>
      <w:r w:rsidRPr="006E7ED6">
        <w:rPr>
          <w:rFonts w:asciiTheme="minorHAnsi" w:hAnsiTheme="minorHAnsi"/>
          <w:szCs w:val="22"/>
        </w:rPr>
        <w:t xml:space="preserve"> unless the information about the Pseudo-Tie is included in congestion management procedure(s) via an alternate method.</w:t>
      </w:r>
      <w:r w:rsidR="00356DFB">
        <w:rPr>
          <w:rFonts w:asciiTheme="minorHAnsi" w:hAnsiTheme="minorHAnsi"/>
        </w:rPr>
        <w:t xml:space="preserve">   </w:t>
      </w:r>
    </w:p>
    <w:bookmarkEnd w:id="3"/>
    <w:p w14:paraId="632CF41D" w14:textId="271D6E8B" w:rsidR="006E7ED6" w:rsidRPr="006E7ED6" w:rsidRDefault="006E7ED6" w:rsidP="006E7ED6">
      <w:pPr>
        <w:pStyle w:val="Requirement"/>
        <w:numPr>
          <w:ilvl w:val="0"/>
          <w:numId w:val="0"/>
        </w:numPr>
        <w:ind w:left="936"/>
        <w:rPr>
          <w:rFonts w:asciiTheme="minorHAnsi" w:hAnsiTheme="minorHAnsi"/>
        </w:rPr>
      </w:pPr>
    </w:p>
    <w:p w14:paraId="4E9DE6EF" w14:textId="6EC059EC" w:rsidR="006E7ED6" w:rsidRPr="006E7ED6" w:rsidRDefault="006E7ED6" w:rsidP="006E7ED6">
      <w:pPr>
        <w:pStyle w:val="Measure"/>
        <w:numPr>
          <w:ilvl w:val="0"/>
          <w:numId w:val="0"/>
        </w:numPr>
        <w:tabs>
          <w:tab w:val="clear" w:pos="936"/>
          <w:tab w:val="left" w:pos="0"/>
          <w:tab w:val="left" w:pos="2592"/>
          <w:tab w:val="left" w:pos="3240"/>
        </w:tabs>
        <w:rPr>
          <w:rFonts w:asciiTheme="minorHAnsi" w:hAnsiTheme="minorHAnsi"/>
        </w:rPr>
      </w:pPr>
      <w:r w:rsidRPr="006E7ED6">
        <w:rPr>
          <w:rFonts w:asciiTheme="minorHAnsi" w:hAnsiTheme="minorHAnsi"/>
          <w:b/>
        </w:rPr>
        <w:t>M1</w:t>
      </w:r>
      <w:r w:rsidRPr="006E7ED6">
        <w:rPr>
          <w:rFonts w:asciiTheme="minorHAnsi" w:hAnsiTheme="minorHAnsi"/>
        </w:rPr>
        <w:t>. The Purchasing-Selling Entity shall have evidence (such as dated and time-stamped electronic logs or other evidence) that a Request for Interchange was submitted for Dynamic Schedules and Pseudo-Ties as an on-time Arranged Interchange to the Sink Balancing Authority for the Dynamic Schedule or Pseudo-Tie. For Pseudo-Ties</w:t>
      </w:r>
      <w:r w:rsidRPr="006E7ED6">
        <w:rPr>
          <w:rFonts w:asciiTheme="minorHAnsi" w:hAnsiTheme="minorHAnsi"/>
          <w:szCs w:val="22"/>
        </w:rPr>
        <w:t xml:space="preserve"> included in congestion management procedure(s) via an alternate method, the Purchasing-Selling Entity shall have evidence such as Interchange Distribution Calculator model data or written/electronic agreement with a Balancing Authority to include the Pseudo-Tie in the congestion management procedure(s).</w:t>
      </w:r>
      <w:r w:rsidRPr="006E7ED6">
        <w:rPr>
          <w:rFonts w:asciiTheme="minorHAnsi" w:hAnsiTheme="minorHAnsi"/>
        </w:rPr>
        <w:t xml:space="preserve"> (R1)</w:t>
      </w:r>
    </w:p>
    <w:p w14:paraId="7445D2E9" w14:textId="77777777" w:rsidR="00356DFB" w:rsidRDefault="00356DFB" w:rsidP="00356DFB">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8759E0C" w14:textId="77777777" w:rsidR="008E534A" w:rsidRDefault="00356DFB" w:rsidP="00356DFB">
      <w:pPr>
        <w:rPr>
          <w:rFonts w:asciiTheme="minorHAnsi" w:hAnsiTheme="minorHAnsi" w:cs="Times New Roman"/>
        </w:rPr>
      </w:pPr>
      <w:r w:rsidRPr="006C43BC">
        <w:rPr>
          <w:rFonts w:asciiTheme="minorHAnsi" w:hAnsiTheme="minorHAnsi" w:cs="Times New Roman"/>
          <w:b/>
        </w:rPr>
        <w:t xml:space="preserve">Question: </w:t>
      </w:r>
      <w:r w:rsidRPr="00356DFB">
        <w:rPr>
          <w:rFonts w:asciiTheme="minorHAnsi" w:hAnsiTheme="minorHAnsi" w:cs="Times New Roman"/>
        </w:rPr>
        <w:t>Does entity secure energy to serve Load via a Dynamic Schedule or Pseudo-Tie?</w:t>
      </w:r>
    </w:p>
    <w:p w14:paraId="35B91946" w14:textId="17275A15" w:rsidR="00356DFB" w:rsidRDefault="006A30C0" w:rsidP="00356DFB">
      <w:pPr>
        <w:rPr>
          <w:rFonts w:asciiTheme="minorHAnsi" w:hAnsiTheme="minorHAnsi" w:cs="Times New Roman"/>
        </w:rPr>
      </w:pP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00356DFB">
            <w:rPr>
              <w:rFonts w:ascii="MS Gothic" w:eastAsia="MS Gothic" w:hAnsi="MS Gothic" w:cs="Times New Roman" w:hint="eastAsia"/>
            </w:rPr>
            <w:t>☐</w:t>
          </w:r>
        </w:sdtContent>
      </w:sdt>
      <w:r w:rsidR="00356DFB"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00356DFB">
            <w:rPr>
              <w:rFonts w:ascii="MS Gothic" w:eastAsia="MS Gothic" w:hAnsi="MS Gothic" w:cs="Times New Roman" w:hint="eastAsia"/>
            </w:rPr>
            <w:t>☐</w:t>
          </w:r>
        </w:sdtContent>
      </w:sdt>
      <w:r w:rsidR="00356DFB" w:rsidRPr="00B879E6">
        <w:rPr>
          <w:rFonts w:asciiTheme="minorHAnsi" w:hAnsiTheme="minorHAnsi" w:cs="Times New Roman"/>
        </w:rPr>
        <w:t xml:space="preserve"> No</w:t>
      </w:r>
    </w:p>
    <w:p w14:paraId="38F806D1" w14:textId="53D60762" w:rsidR="009A6224" w:rsidRDefault="009A6224" w:rsidP="00356DFB">
      <w:pPr>
        <w:rPr>
          <w:rFonts w:asciiTheme="minorHAnsi" w:hAnsiTheme="minorHAnsi" w:cs="Times New Roman"/>
        </w:rPr>
      </w:pPr>
      <w:r>
        <w:rPr>
          <w:rFonts w:asciiTheme="minorHAnsi" w:hAnsiTheme="minorHAnsi" w:cs="Times New Roman"/>
        </w:rPr>
        <w:t>If yes, proceed to Evidence Requested section below.</w:t>
      </w:r>
    </w:p>
    <w:p w14:paraId="6B74C15D" w14:textId="77777777" w:rsidR="009A6224" w:rsidRDefault="009A6224" w:rsidP="009A6224">
      <w:pPr>
        <w:rPr>
          <w:rFonts w:asciiTheme="minorHAnsi" w:hAnsiTheme="minorHAnsi" w:cs="Times New Roman"/>
        </w:rPr>
      </w:pPr>
      <w:r>
        <w:rPr>
          <w:rFonts w:asciiTheme="minorHAnsi" w:hAnsiTheme="minorHAnsi" w:cs="Times New Roman"/>
        </w:rPr>
        <w:t>If no, Requirement R1 is not applicable.</w:t>
      </w:r>
    </w:p>
    <w:p w14:paraId="65F4E85B" w14:textId="00A17A10" w:rsidR="00356DFB" w:rsidRPr="00557049" w:rsidRDefault="00356DFB" w:rsidP="009A6224">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F82EB1C" w14:textId="77777777" w:rsidR="00356DFB" w:rsidRPr="00705BB3" w:rsidRDefault="00356DFB" w:rsidP="00356DFB">
      <w:pPr>
        <w:widowControl w:val="0"/>
        <w:shd w:val="clear" w:color="auto" w:fill="CDFFCD"/>
        <w:jc w:val="both"/>
        <w:rPr>
          <w:rFonts w:asciiTheme="minorHAnsi" w:hAnsiTheme="minorHAnsi" w:cs="Times New Roman"/>
          <w:bCs/>
          <w:color w:val="auto"/>
          <w:sz w:val="22"/>
          <w:szCs w:val="22"/>
        </w:rPr>
      </w:pPr>
    </w:p>
    <w:p w14:paraId="5C827B45" w14:textId="77777777" w:rsidR="00356DFB" w:rsidRPr="00705BB3" w:rsidRDefault="00356DFB" w:rsidP="00356DFB">
      <w:pPr>
        <w:widowControl w:val="0"/>
        <w:shd w:val="clear" w:color="auto" w:fill="CDFFCD"/>
        <w:jc w:val="both"/>
        <w:rPr>
          <w:rFonts w:asciiTheme="minorHAnsi" w:hAnsiTheme="minorHAnsi" w:cs="Times New Roman"/>
          <w:bCs/>
          <w:color w:val="auto"/>
          <w:sz w:val="22"/>
          <w:szCs w:val="22"/>
        </w:rPr>
      </w:pPr>
    </w:p>
    <w:p w14:paraId="33738AAE" w14:textId="07584791" w:rsidR="00895015" w:rsidRPr="006C43BC" w:rsidRDefault="00895015" w:rsidP="006E7ED6">
      <w:pPr>
        <w:pStyle w:val="Measure"/>
        <w:numPr>
          <w:ilvl w:val="0"/>
          <w:numId w:val="0"/>
        </w:numPr>
        <w:tabs>
          <w:tab w:val="clear" w:pos="936"/>
          <w:tab w:val="left" w:pos="0"/>
          <w:tab w:val="left" w:pos="2592"/>
          <w:tab w:val="left" w:pos="3240"/>
        </w:tabs>
        <w:rPr>
          <w:rFonts w:asciiTheme="minorHAnsi" w:hAnsiTheme="minorHAnsi"/>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6446A213"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w:t>
      </w:r>
      <w:r w:rsidR="009B76AA">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C665EEA" w:rsidR="00C1568A" w:rsidRPr="006C43BC" w:rsidRDefault="00C1568A" w:rsidP="00D97E2A">
      <w:pPr>
        <w:pStyle w:val="RqtSection"/>
        <w:rPr>
          <w:rFonts w:cstheme="minorHAnsi"/>
          <w:i/>
          <w:iCs/>
        </w:rPr>
      </w:pPr>
      <w:r>
        <w:t>Evidence Requested</w:t>
      </w:r>
      <w:r w:rsidR="000F2E7B">
        <w:t>:</w:t>
      </w:r>
      <w:r w:rsidR="00AD32EC">
        <w:rPr>
          <w:rStyle w:val="EndnoteReference"/>
        </w:rPr>
        <w:endnoteReference w:id="1"/>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023D31">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A6224" w:rsidRPr="00676D1E" w14:paraId="0A1A35E7" w14:textId="77777777" w:rsidTr="00023D31">
        <w:tc>
          <w:tcPr>
            <w:tcW w:w="10790" w:type="dxa"/>
            <w:shd w:val="clear" w:color="auto" w:fill="DCDCFF"/>
          </w:tcPr>
          <w:p w14:paraId="4346B1A7" w14:textId="5C6FD55F" w:rsidR="009A6224" w:rsidRDefault="009A6224" w:rsidP="000A6C3D">
            <w:pPr>
              <w:widowControl w:val="0"/>
              <w:jc w:val="both"/>
              <w:rPr>
                <w:rFonts w:asciiTheme="minorHAnsi" w:hAnsiTheme="minorHAnsi" w:cs="Times New Roman"/>
                <w:color w:val="auto"/>
              </w:rPr>
            </w:pPr>
            <w:r>
              <w:rPr>
                <w:rFonts w:asciiTheme="minorHAnsi" w:hAnsiTheme="minorHAnsi" w:cs="Times New Roman"/>
                <w:color w:val="auto"/>
              </w:rPr>
              <w:t>A list of instances</w:t>
            </w:r>
            <w:r w:rsidR="003C38A1">
              <w:rPr>
                <w:rFonts w:asciiTheme="minorHAnsi" w:hAnsiTheme="minorHAnsi" w:cs="Times New Roman"/>
                <w:color w:val="auto"/>
              </w:rPr>
              <w:t xml:space="preserve"> during the compliance monitoring period</w:t>
            </w:r>
            <w:r>
              <w:rPr>
                <w:rFonts w:asciiTheme="minorHAnsi" w:hAnsiTheme="minorHAnsi" w:cs="Times New Roman"/>
                <w:color w:val="auto"/>
              </w:rPr>
              <w:t xml:space="preserve"> where entity secures energy to serve Load via a Dynamic Schedule or Pseudo-Tie.</w:t>
            </w:r>
          </w:p>
        </w:tc>
      </w:tr>
      <w:tr w:rsidR="00BF371A" w:rsidRPr="00676D1E" w14:paraId="4903CC69" w14:textId="77777777" w:rsidTr="00023D31">
        <w:tc>
          <w:tcPr>
            <w:tcW w:w="10790" w:type="dxa"/>
            <w:shd w:val="clear" w:color="auto" w:fill="DCDCFF"/>
          </w:tcPr>
          <w:p w14:paraId="594F0F1E" w14:textId="52C30A40" w:rsidR="00BF371A" w:rsidRDefault="00356DFB" w:rsidP="000A6C3D">
            <w:pPr>
              <w:widowControl w:val="0"/>
              <w:jc w:val="both"/>
              <w:rPr>
                <w:rFonts w:asciiTheme="minorHAnsi" w:hAnsiTheme="minorHAnsi" w:cs="Times New Roman"/>
                <w:color w:val="auto"/>
              </w:rPr>
            </w:pPr>
            <w:r>
              <w:rPr>
                <w:rFonts w:asciiTheme="minorHAnsi" w:hAnsiTheme="minorHAnsi" w:cs="Times New Roman"/>
                <w:color w:val="auto"/>
              </w:rPr>
              <w:t>Dated and time-stamped electronic logs or other evidence that a Request for Interchange was submitted as required or an Interchange Distribution Calculator model data or written/electronic agreement with a Balancing Authority to include the Pseudo-Tie in the congestion management procedure.</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653DD0C"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EE246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7E54340F"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67F1F">
        <w:t>INT-004-3.1</w:t>
      </w:r>
      <w:r w:rsidR="006E7ED6">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4B162A">
        <w:tc>
          <w:tcPr>
            <w:tcW w:w="374" w:type="dxa"/>
          </w:tcPr>
          <w:p w14:paraId="10CC5FD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8495E4" w14:textId="0AEA633B" w:rsidR="00C1568A" w:rsidRPr="00023D31" w:rsidRDefault="009A6224" w:rsidP="00A743D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 For all</w:t>
            </w:r>
            <w:r w:rsidR="00553372">
              <w:rPr>
                <w:rFonts w:asciiTheme="minorHAnsi" w:hAnsiTheme="minorHAnsi" w:cs="Times New Roman"/>
                <w:color w:val="auto"/>
              </w:rPr>
              <w:t>,</w:t>
            </w:r>
            <w:r>
              <w:rPr>
                <w:rFonts w:asciiTheme="minorHAnsi" w:hAnsiTheme="minorHAnsi" w:cs="Times New Roman"/>
                <w:color w:val="auto"/>
              </w:rPr>
              <w:t xml:space="preserve"> or a sample of</w:t>
            </w:r>
            <w:r w:rsidR="00553372">
              <w:rPr>
                <w:rFonts w:asciiTheme="minorHAnsi" w:hAnsiTheme="minorHAnsi" w:cs="Times New Roman"/>
                <w:color w:val="auto"/>
              </w:rPr>
              <w:t>,</w:t>
            </w:r>
            <w:r>
              <w:rPr>
                <w:rFonts w:asciiTheme="minorHAnsi" w:hAnsiTheme="minorHAnsi" w:cs="Times New Roman"/>
                <w:color w:val="auto"/>
              </w:rPr>
              <w:t xml:space="preserve"> instances where entity secures energy to serve Load via a Dynamic Schedule or Pseudo-Tie</w:t>
            </w:r>
            <w:r w:rsidR="00F969A6">
              <w:rPr>
                <w:rFonts w:asciiTheme="minorHAnsi" w:hAnsiTheme="minorHAnsi" w:cs="Times New Roman"/>
                <w:color w:val="auto"/>
              </w:rPr>
              <w:t>,</w:t>
            </w:r>
            <w:r>
              <w:rPr>
                <w:rFonts w:asciiTheme="minorHAnsi" w:hAnsiTheme="minorHAnsi" w:cs="Times New Roman"/>
                <w:color w:val="auto"/>
              </w:rPr>
              <w:t xml:space="preserve"> examine evidence and verify that a Request for Interchange was submitted as an on-time </w:t>
            </w:r>
            <w:r w:rsidR="007773A2">
              <w:rPr>
                <w:rFonts w:asciiTheme="minorHAnsi" w:hAnsiTheme="minorHAnsi" w:cs="Times New Roman"/>
                <w:color w:val="auto"/>
              </w:rPr>
              <w:t>Arranged</w:t>
            </w:r>
            <w:r>
              <w:rPr>
                <w:rFonts w:asciiTheme="minorHAnsi" w:hAnsiTheme="minorHAnsi" w:cs="Times New Roman"/>
                <w:color w:val="auto"/>
              </w:rPr>
              <w:t xml:space="preserve"> Interchange to the Sink Balancing Authority, or the information was included in congestion management procedure(s).</w:t>
            </w:r>
          </w:p>
        </w:tc>
      </w:tr>
      <w:tr w:rsidR="00C1568A" w:rsidRPr="006C43BC" w14:paraId="431903D7" w14:textId="77777777" w:rsidTr="002648FF">
        <w:tc>
          <w:tcPr>
            <w:tcW w:w="10790" w:type="dxa"/>
            <w:gridSpan w:val="2"/>
            <w:tcBorders>
              <w:bottom w:val="single" w:sz="4" w:space="0" w:color="auto"/>
            </w:tcBorders>
            <w:shd w:val="clear" w:color="auto" w:fill="DCDCFF"/>
          </w:tcPr>
          <w:p w14:paraId="70568AD5" w14:textId="05AB9898" w:rsidR="00C1568A" w:rsidRPr="006C43BC" w:rsidRDefault="00C1568A" w:rsidP="009B76A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969A6">
              <w:rPr>
                <w:rFonts w:asciiTheme="minorHAnsi" w:hAnsiTheme="minorHAnsi" w:cs="Times New Roman"/>
                <w:bCs/>
                <w:color w:val="auto"/>
              </w:rPr>
              <w:t>Please refer to the timing tables of INT-006-4 to determine whether submissions were on-time.</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99EE55C" w14:textId="12E9C000" w:rsidR="002648FF" w:rsidRPr="008F56D6" w:rsidRDefault="002648FF" w:rsidP="002648FF">
      <w:pPr>
        <w:pStyle w:val="SectHead"/>
      </w:pPr>
      <w:r>
        <w:lastRenderedPageBreak/>
        <w:t>R2</w:t>
      </w:r>
      <w:r w:rsidRPr="006C43BC">
        <w:t xml:space="preserve"> Supporting Evidence and Documentation</w:t>
      </w:r>
    </w:p>
    <w:p w14:paraId="1AAA5F04" w14:textId="5FF79763" w:rsidR="006E7ED6" w:rsidRPr="006E7ED6" w:rsidRDefault="006E7ED6" w:rsidP="006E7ED6">
      <w:pPr>
        <w:numPr>
          <w:ilvl w:val="1"/>
          <w:numId w:val="28"/>
        </w:numPr>
        <w:tabs>
          <w:tab w:val="num" w:pos="396"/>
        </w:tabs>
        <w:autoSpaceDE/>
        <w:autoSpaceDN/>
        <w:adjustRightInd/>
        <w:spacing w:before="120"/>
        <w:ind w:left="0" w:firstLine="0"/>
        <w:rPr>
          <w:rFonts w:asciiTheme="minorHAnsi" w:hAnsiTheme="minorHAnsi"/>
        </w:rPr>
      </w:pPr>
      <w:r w:rsidRPr="006E7ED6">
        <w:rPr>
          <w:rFonts w:asciiTheme="minorHAnsi" w:hAnsiTheme="minorHAnsi"/>
        </w:rPr>
        <w:t xml:space="preserve">The </w:t>
      </w:r>
      <w:r w:rsidRPr="006E7ED6">
        <w:rPr>
          <w:rStyle w:val="BoxText"/>
          <w:rFonts w:asciiTheme="minorHAnsi" w:hAnsiTheme="minorHAnsi"/>
          <w:b w:val="0"/>
          <w:sz w:val="24"/>
        </w:rPr>
        <w:t xml:space="preserve">Purchasing-Selling Entity that </w:t>
      </w:r>
      <w:r w:rsidRPr="006E7ED6">
        <w:rPr>
          <w:rFonts w:asciiTheme="minorHAnsi" w:hAnsiTheme="minorHAnsi"/>
        </w:rPr>
        <w:t xml:space="preserve">submits a Request for Interchange in accordance with Requirement R1 </w:t>
      </w:r>
      <w:r w:rsidRPr="006E7ED6">
        <w:rPr>
          <w:rStyle w:val="BoxText"/>
          <w:rFonts w:asciiTheme="minorHAnsi" w:hAnsiTheme="minorHAnsi"/>
          <w:b w:val="0"/>
          <w:sz w:val="24"/>
        </w:rPr>
        <w:t xml:space="preserve">shall ensure the Confirmed Interchange associated with that Dynamic Schedule </w:t>
      </w:r>
      <w:r w:rsidRPr="006E7ED6">
        <w:rPr>
          <w:rFonts w:asciiTheme="minorHAnsi" w:hAnsiTheme="minorHAnsi"/>
        </w:rPr>
        <w:t xml:space="preserve">or Pseudo-Tie </w:t>
      </w:r>
      <w:r w:rsidRPr="006E7ED6">
        <w:rPr>
          <w:rStyle w:val="BoxText"/>
          <w:rFonts w:asciiTheme="minorHAnsi" w:hAnsiTheme="minorHAnsi"/>
          <w:b w:val="0"/>
          <w:sz w:val="24"/>
        </w:rPr>
        <w:t xml:space="preserve">is updated for future hours in order to support congestion management procedures if any one of the following occurs: </w:t>
      </w:r>
    </w:p>
    <w:p w14:paraId="4743E908" w14:textId="77777777" w:rsidR="006E7ED6" w:rsidRPr="006E7ED6" w:rsidRDefault="006E7ED6" w:rsidP="006E7ED6">
      <w:pPr>
        <w:pStyle w:val="ListParagraph"/>
        <w:numPr>
          <w:ilvl w:val="0"/>
          <w:numId w:val="1"/>
        </w:numPr>
        <w:autoSpaceDE/>
        <w:autoSpaceDN/>
        <w:adjustRightInd/>
        <w:spacing w:after="120"/>
        <w:contextualSpacing w:val="0"/>
        <w:rPr>
          <w:rStyle w:val="BoxText"/>
          <w:rFonts w:asciiTheme="minorHAnsi" w:hAnsiTheme="minorHAnsi" w:cs="Times New Roman"/>
          <w:b w:val="0"/>
          <w:vanish/>
          <w:color w:val="auto"/>
          <w:sz w:val="24"/>
        </w:rPr>
      </w:pPr>
    </w:p>
    <w:p w14:paraId="7174544D" w14:textId="77777777" w:rsidR="006E7ED6" w:rsidRPr="006E7ED6" w:rsidRDefault="006E7ED6" w:rsidP="006E7ED6">
      <w:pPr>
        <w:pStyle w:val="ListParagraph"/>
        <w:numPr>
          <w:ilvl w:val="0"/>
          <w:numId w:val="1"/>
        </w:numPr>
        <w:autoSpaceDE/>
        <w:autoSpaceDN/>
        <w:adjustRightInd/>
        <w:spacing w:after="120"/>
        <w:contextualSpacing w:val="0"/>
        <w:rPr>
          <w:rStyle w:val="BoxText"/>
          <w:rFonts w:asciiTheme="minorHAnsi" w:hAnsiTheme="minorHAnsi" w:cs="Times New Roman"/>
          <w:b w:val="0"/>
          <w:vanish/>
          <w:color w:val="auto"/>
          <w:sz w:val="24"/>
        </w:rPr>
      </w:pPr>
    </w:p>
    <w:p w14:paraId="150BEB35" w14:textId="134FA4DC" w:rsidR="006E7ED6" w:rsidRPr="006E7ED6" w:rsidRDefault="006E7ED6" w:rsidP="006E7ED6">
      <w:pPr>
        <w:pStyle w:val="Requirement"/>
        <w:numPr>
          <w:ilvl w:val="1"/>
          <w:numId w:val="1"/>
        </w:numPr>
        <w:tabs>
          <w:tab w:val="clear" w:pos="360"/>
          <w:tab w:val="num" w:pos="1440"/>
        </w:tabs>
        <w:ind w:left="1440"/>
        <w:rPr>
          <w:rStyle w:val="BoxText"/>
          <w:rFonts w:asciiTheme="minorHAnsi" w:hAnsiTheme="minorHAnsi"/>
          <w:b w:val="0"/>
          <w:sz w:val="24"/>
        </w:rPr>
      </w:pPr>
      <w:r w:rsidRPr="006E7ED6">
        <w:rPr>
          <w:rStyle w:val="BoxText"/>
          <w:rFonts w:asciiTheme="minorHAnsi" w:hAnsiTheme="minorHAnsi"/>
          <w:b w:val="0"/>
          <w:sz w:val="24"/>
        </w:rPr>
        <w:t>For Confirmed Interchange greater than 250 MW for the last hour, the actual hourly integrated energy deviates from the Confirmed Interchange by more than 10% for that hour and that deviation is expected to persist.</w:t>
      </w:r>
    </w:p>
    <w:p w14:paraId="054B0010" w14:textId="77777777" w:rsidR="006E7ED6" w:rsidRPr="006E7ED6" w:rsidRDefault="006E7ED6" w:rsidP="003771E5">
      <w:pPr>
        <w:pStyle w:val="Requirement"/>
        <w:numPr>
          <w:ilvl w:val="1"/>
          <w:numId w:val="1"/>
        </w:numPr>
        <w:tabs>
          <w:tab w:val="clear" w:pos="360"/>
          <w:tab w:val="num" w:pos="1440"/>
          <w:tab w:val="left" w:pos="2592"/>
          <w:tab w:val="left" w:pos="3240"/>
        </w:tabs>
        <w:ind w:left="1440" w:hanging="522"/>
        <w:rPr>
          <w:rStyle w:val="BoxText"/>
          <w:rFonts w:asciiTheme="minorHAnsi" w:hAnsiTheme="minorHAnsi"/>
          <w:b w:val="0"/>
          <w:sz w:val="24"/>
        </w:rPr>
      </w:pPr>
      <w:r w:rsidRPr="006E7ED6">
        <w:rPr>
          <w:rStyle w:val="BoxText"/>
          <w:rFonts w:asciiTheme="minorHAnsi" w:hAnsiTheme="minorHAnsi"/>
          <w:b w:val="0"/>
          <w:sz w:val="24"/>
        </w:rPr>
        <w:t>For Confirmed Interchange less than or equal to 250 MW for the last hour, the actual hourly integrated energy deviates from the Confirmed Interchange by more than 25 MW for that hour and that deviation is expected to persist.</w:t>
      </w:r>
    </w:p>
    <w:p w14:paraId="294E14F2" w14:textId="77777777" w:rsidR="006E7ED6" w:rsidRPr="006E7ED6" w:rsidRDefault="006E7ED6" w:rsidP="003771E5">
      <w:pPr>
        <w:pStyle w:val="Requirement"/>
        <w:numPr>
          <w:ilvl w:val="1"/>
          <w:numId w:val="1"/>
        </w:numPr>
        <w:tabs>
          <w:tab w:val="clear" w:pos="360"/>
          <w:tab w:val="num" w:pos="1440"/>
          <w:tab w:val="left" w:pos="2592"/>
          <w:tab w:val="left" w:pos="3240"/>
        </w:tabs>
        <w:ind w:left="1440"/>
        <w:rPr>
          <w:rFonts w:asciiTheme="minorHAnsi" w:hAnsiTheme="minorHAnsi"/>
        </w:rPr>
      </w:pPr>
      <w:r w:rsidRPr="006E7ED6">
        <w:rPr>
          <w:rFonts w:asciiTheme="minorHAnsi" w:hAnsiTheme="minorHAnsi"/>
        </w:rPr>
        <w:t xml:space="preserve">The Purchasing-Selling Entity receives </w:t>
      </w:r>
      <w:r w:rsidRPr="006E7ED6">
        <w:rPr>
          <w:rStyle w:val="BoxText"/>
          <w:rFonts w:asciiTheme="minorHAnsi" w:hAnsiTheme="minorHAnsi"/>
          <w:b w:val="0"/>
          <w:sz w:val="24"/>
        </w:rPr>
        <w:t xml:space="preserve">notification from a Reliability Coordinator or Transmission Operator to update the Confirmed Interchange. </w:t>
      </w:r>
    </w:p>
    <w:p w14:paraId="0AFA7368" w14:textId="16D2F9A6" w:rsidR="002648FF" w:rsidRDefault="006E7ED6" w:rsidP="006E7ED6">
      <w:pPr>
        <w:pStyle w:val="Measure"/>
        <w:numPr>
          <w:ilvl w:val="0"/>
          <w:numId w:val="0"/>
        </w:numPr>
        <w:tabs>
          <w:tab w:val="clear" w:pos="936"/>
          <w:tab w:val="left" w:pos="0"/>
          <w:tab w:val="left" w:pos="2592"/>
          <w:tab w:val="left" w:pos="3240"/>
        </w:tabs>
        <w:rPr>
          <w:rFonts w:asciiTheme="minorHAnsi" w:hAnsiTheme="minorHAnsi"/>
        </w:rPr>
      </w:pPr>
      <w:r w:rsidRPr="006E7ED6">
        <w:rPr>
          <w:rFonts w:asciiTheme="minorHAnsi" w:hAnsiTheme="minorHAnsi"/>
          <w:b/>
        </w:rPr>
        <w:t>M2</w:t>
      </w:r>
      <w:r w:rsidRPr="006E7ED6">
        <w:rPr>
          <w:rFonts w:asciiTheme="minorHAnsi" w:hAnsiTheme="minorHAnsi"/>
        </w:rPr>
        <w:t>. The Purchasing-Selling Entity shall have evidence (such as dated and time-stamped electronic logs, reliability studies or other evidence) that it updated its Confirmed Interchange Requests for Interchange</w:t>
      </w:r>
      <w:r w:rsidRPr="006E7ED6" w:rsidDel="00E57435">
        <w:rPr>
          <w:rFonts w:asciiTheme="minorHAnsi" w:hAnsiTheme="minorHAnsi"/>
        </w:rPr>
        <w:t xml:space="preserve"> </w:t>
      </w:r>
      <w:r w:rsidRPr="006E7ED6">
        <w:rPr>
          <w:rFonts w:asciiTheme="minorHAnsi" w:hAnsiTheme="minorHAnsi"/>
        </w:rPr>
        <w:t>when the deviation met the criteria in Requirement R2, Parts 2.1- 2.3. (R2)</w:t>
      </w:r>
    </w:p>
    <w:p w14:paraId="36C00988" w14:textId="77777777" w:rsidR="006E7ED6" w:rsidRPr="006E7ED6" w:rsidRDefault="006E7ED6" w:rsidP="006E7ED6">
      <w:pPr>
        <w:pStyle w:val="Measure"/>
        <w:numPr>
          <w:ilvl w:val="0"/>
          <w:numId w:val="0"/>
        </w:numPr>
        <w:tabs>
          <w:tab w:val="clear" w:pos="936"/>
          <w:tab w:val="left" w:pos="0"/>
          <w:tab w:val="left" w:pos="2592"/>
          <w:tab w:val="left" w:pos="3240"/>
        </w:tabs>
        <w:rPr>
          <w:rFonts w:asciiTheme="minorHAnsi" w:hAnsiTheme="minorHAnsi"/>
        </w:rPr>
      </w:pPr>
    </w:p>
    <w:p w14:paraId="452A1893" w14:textId="77777777" w:rsidR="002648FF" w:rsidRPr="006C43BC" w:rsidRDefault="002648FF" w:rsidP="002648F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AFD974A" w14:textId="77777777" w:rsidR="002648FF" w:rsidRPr="00A5228E" w:rsidRDefault="002648FF" w:rsidP="002648F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A1F48E" w14:textId="2309AFB3" w:rsidR="002648FF" w:rsidRPr="006C43BC" w:rsidRDefault="002648FF" w:rsidP="002648F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w:t>
      </w:r>
      <w:r w:rsidR="009B76AA">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 to supplied evidence, including links to the appropriate page, are recommended.</w:t>
      </w:r>
    </w:p>
    <w:p w14:paraId="792FE365"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3D33849D"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7C735CAA" w14:textId="77777777" w:rsidR="002648FF" w:rsidRPr="006C43BC" w:rsidRDefault="002648FF" w:rsidP="002648FF">
      <w:pPr>
        <w:widowControl w:val="0"/>
        <w:spacing w:line="266" w:lineRule="exact"/>
        <w:rPr>
          <w:rFonts w:asciiTheme="minorHAnsi" w:hAnsiTheme="minorHAnsi" w:cs="Times New Roman"/>
          <w:b/>
          <w:bCs/>
        </w:rPr>
      </w:pPr>
    </w:p>
    <w:p w14:paraId="70B6D998" w14:textId="7F5E29CB" w:rsidR="002648FF" w:rsidRPr="006C43BC" w:rsidRDefault="002648FF" w:rsidP="002648FF">
      <w:pPr>
        <w:pStyle w:val="RqtSection"/>
        <w:rPr>
          <w:rFonts w:cstheme="minorHAnsi"/>
          <w:i/>
          <w:iCs/>
        </w:rPr>
      </w:pPr>
      <w:r>
        <w:t>Evidence Requested</w:t>
      </w:r>
      <w:r w:rsidR="009A568F">
        <w:t>:</w:t>
      </w:r>
      <w:r w:rsidR="008E534A">
        <w:t xml:space="preserve"> </w:t>
      </w:r>
      <w:r w:rsidRPr="002648FF">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2648FF" w:rsidRPr="006C43BC" w14:paraId="2A6338E1" w14:textId="77777777" w:rsidTr="0039188B">
        <w:tc>
          <w:tcPr>
            <w:tcW w:w="10790" w:type="dxa"/>
            <w:shd w:val="clear" w:color="auto" w:fill="DCDCFF"/>
          </w:tcPr>
          <w:p w14:paraId="31C69587" w14:textId="77777777" w:rsidR="002648FF" w:rsidRPr="00705BB3" w:rsidRDefault="002648FF" w:rsidP="0039188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648FF" w:rsidRPr="00676D1E" w14:paraId="352040F2" w14:textId="77777777" w:rsidTr="0039188B">
        <w:tc>
          <w:tcPr>
            <w:tcW w:w="10790" w:type="dxa"/>
            <w:shd w:val="clear" w:color="auto" w:fill="DCDCFF"/>
          </w:tcPr>
          <w:p w14:paraId="3B89EB9A" w14:textId="50472A27" w:rsidR="002648FF" w:rsidRDefault="003771E5" w:rsidP="0039188B">
            <w:pPr>
              <w:widowControl w:val="0"/>
              <w:jc w:val="both"/>
              <w:rPr>
                <w:rFonts w:asciiTheme="minorHAnsi" w:hAnsiTheme="minorHAnsi" w:cs="Times New Roman"/>
                <w:color w:val="auto"/>
              </w:rPr>
            </w:pPr>
            <w:r>
              <w:rPr>
                <w:rFonts w:asciiTheme="minorHAnsi" w:hAnsiTheme="minorHAnsi" w:cs="Times New Roman"/>
                <w:color w:val="auto"/>
              </w:rPr>
              <w:t>Dated and time-stamped electronic logs, reliability studies or other evidence that entity updated its Confirmed Interchange Requests for Interchange when the deviation met the criteria in Parts 2.1-2.3.</w:t>
            </w:r>
          </w:p>
        </w:tc>
      </w:tr>
    </w:tbl>
    <w:p w14:paraId="31686120" w14:textId="77777777" w:rsidR="002648FF" w:rsidRDefault="002648FF" w:rsidP="002648FF">
      <w:pPr>
        <w:widowControl w:val="0"/>
        <w:spacing w:line="266" w:lineRule="exact"/>
        <w:rPr>
          <w:rFonts w:asciiTheme="minorHAnsi" w:hAnsiTheme="minorHAnsi" w:cs="Times New Roman"/>
          <w:b/>
          <w:bCs/>
          <w:color w:val="auto"/>
        </w:rPr>
      </w:pPr>
    </w:p>
    <w:p w14:paraId="0C62E0F8" w14:textId="77777777" w:rsidR="002648FF" w:rsidRPr="006C43BC" w:rsidRDefault="002648FF" w:rsidP="002648F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648FF" w:rsidRPr="00812336" w14:paraId="3CF2F17F" w14:textId="77777777" w:rsidTr="0039188B">
        <w:tc>
          <w:tcPr>
            <w:tcW w:w="10995" w:type="dxa"/>
            <w:gridSpan w:val="6"/>
            <w:shd w:val="clear" w:color="auto" w:fill="DCDCFF"/>
            <w:vAlign w:val="bottom"/>
          </w:tcPr>
          <w:p w14:paraId="485D437D" w14:textId="77777777" w:rsidR="002648FF" w:rsidRPr="00812336" w:rsidRDefault="002648FF" w:rsidP="0039188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648FF" w:rsidRPr="00812336" w14:paraId="2555012A" w14:textId="77777777" w:rsidTr="0039188B">
        <w:tc>
          <w:tcPr>
            <w:tcW w:w="2340" w:type="dxa"/>
            <w:shd w:val="clear" w:color="auto" w:fill="DCDCFF"/>
            <w:vAlign w:val="bottom"/>
          </w:tcPr>
          <w:p w14:paraId="4F275BDE"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3FC3F79"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1BC70B"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7AFD2C8"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F35F7C8"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46F852D"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648FF" w:rsidRPr="00705BB3" w14:paraId="27BBAFC7" w14:textId="77777777" w:rsidTr="0039188B">
        <w:tc>
          <w:tcPr>
            <w:tcW w:w="2340" w:type="dxa"/>
            <w:shd w:val="clear" w:color="auto" w:fill="CDFFCD"/>
          </w:tcPr>
          <w:p w14:paraId="491A7EBA"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7C7094"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F78A6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B8634F7"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AAB893"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77DF3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4A4B09C3" w14:textId="77777777" w:rsidTr="0039188B">
        <w:tc>
          <w:tcPr>
            <w:tcW w:w="2340" w:type="dxa"/>
            <w:shd w:val="clear" w:color="auto" w:fill="CDFFCD"/>
          </w:tcPr>
          <w:p w14:paraId="66533AD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05F46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7DA4CD"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282BB5"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21936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72179D1"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6369FA17" w14:textId="77777777" w:rsidTr="0039188B">
        <w:tc>
          <w:tcPr>
            <w:tcW w:w="2340" w:type="dxa"/>
            <w:shd w:val="clear" w:color="auto" w:fill="CDFFCD"/>
          </w:tcPr>
          <w:p w14:paraId="3BC25894"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CCFE55"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45D12E"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76A46E"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8EFE2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BA0BF9"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bl>
    <w:p w14:paraId="73AC2BC1" w14:textId="77777777" w:rsidR="002648FF" w:rsidRPr="006C43BC" w:rsidRDefault="002648FF" w:rsidP="002648FF">
      <w:pPr>
        <w:widowControl w:val="0"/>
        <w:rPr>
          <w:rFonts w:asciiTheme="minorHAnsi" w:hAnsiTheme="minorHAnsi" w:cs="Times New Roman"/>
        </w:rPr>
      </w:pPr>
    </w:p>
    <w:p w14:paraId="2F177E6E" w14:textId="77777777" w:rsidR="002648FF" w:rsidRPr="006C43BC" w:rsidRDefault="002648FF" w:rsidP="002648F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648FF" w:rsidRPr="00705BB3" w14:paraId="204E7726" w14:textId="77777777" w:rsidTr="0039188B">
        <w:tc>
          <w:tcPr>
            <w:tcW w:w="11016" w:type="dxa"/>
            <w:shd w:val="clear" w:color="auto" w:fill="auto"/>
          </w:tcPr>
          <w:p w14:paraId="335A0A6B" w14:textId="77777777" w:rsidR="002648FF" w:rsidRPr="00705BB3" w:rsidRDefault="002648FF" w:rsidP="0039188B">
            <w:pPr>
              <w:widowControl w:val="0"/>
              <w:rPr>
                <w:rFonts w:asciiTheme="minorHAnsi" w:hAnsiTheme="minorHAnsi" w:cs="Times New Roman"/>
                <w:sz w:val="22"/>
                <w:szCs w:val="22"/>
              </w:rPr>
            </w:pPr>
          </w:p>
        </w:tc>
      </w:tr>
      <w:tr w:rsidR="002648FF" w:rsidRPr="00705BB3" w14:paraId="45763F90" w14:textId="77777777" w:rsidTr="0039188B">
        <w:tc>
          <w:tcPr>
            <w:tcW w:w="11016" w:type="dxa"/>
            <w:shd w:val="clear" w:color="auto" w:fill="auto"/>
          </w:tcPr>
          <w:p w14:paraId="7D3DC332" w14:textId="77777777" w:rsidR="002648FF" w:rsidRPr="00705BB3" w:rsidRDefault="002648FF" w:rsidP="0039188B">
            <w:pPr>
              <w:widowControl w:val="0"/>
              <w:rPr>
                <w:rFonts w:asciiTheme="minorHAnsi" w:hAnsiTheme="minorHAnsi" w:cs="Times New Roman"/>
                <w:sz w:val="22"/>
                <w:szCs w:val="22"/>
              </w:rPr>
            </w:pPr>
          </w:p>
        </w:tc>
      </w:tr>
      <w:tr w:rsidR="002648FF" w:rsidRPr="00705BB3" w14:paraId="69DB9B7E" w14:textId="77777777" w:rsidTr="0039188B">
        <w:tc>
          <w:tcPr>
            <w:tcW w:w="11016" w:type="dxa"/>
            <w:shd w:val="clear" w:color="auto" w:fill="auto"/>
          </w:tcPr>
          <w:p w14:paraId="64714E74" w14:textId="77777777" w:rsidR="002648FF" w:rsidRPr="00705BB3" w:rsidRDefault="002648FF" w:rsidP="0039188B">
            <w:pPr>
              <w:widowControl w:val="0"/>
              <w:rPr>
                <w:rFonts w:asciiTheme="minorHAnsi" w:hAnsiTheme="minorHAnsi" w:cs="Times New Roman"/>
                <w:sz w:val="22"/>
                <w:szCs w:val="22"/>
              </w:rPr>
            </w:pPr>
          </w:p>
        </w:tc>
      </w:tr>
    </w:tbl>
    <w:p w14:paraId="28E92B6F" w14:textId="77777777" w:rsidR="002648FF" w:rsidRPr="006C43BC" w:rsidRDefault="002648FF" w:rsidP="002648FF">
      <w:pPr>
        <w:widowControl w:val="0"/>
        <w:rPr>
          <w:rFonts w:asciiTheme="minorHAnsi" w:hAnsiTheme="minorHAnsi" w:cs="Times New Roman"/>
        </w:rPr>
      </w:pPr>
    </w:p>
    <w:p w14:paraId="14340211" w14:textId="5A7644CF" w:rsidR="002648FF" w:rsidRPr="00722443" w:rsidRDefault="002648FF" w:rsidP="002648F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67F1F">
        <w:t>INT-004-3.1</w:t>
      </w:r>
      <w:r>
        <w:t>, R2</w:t>
      </w:r>
    </w:p>
    <w:p w14:paraId="2A3FF741" w14:textId="77777777" w:rsidR="002648FF" w:rsidRPr="006C43BC" w:rsidRDefault="002648FF" w:rsidP="002648F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48FF" w:rsidRPr="00705BB3" w14:paraId="1DA7CEB5" w14:textId="77777777" w:rsidTr="0039188B">
        <w:tc>
          <w:tcPr>
            <w:tcW w:w="374" w:type="dxa"/>
          </w:tcPr>
          <w:p w14:paraId="3849452D" w14:textId="77777777" w:rsidR="002648FF" w:rsidRPr="00705BB3" w:rsidRDefault="002648FF" w:rsidP="0039188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DEFA55D" w14:textId="588E91F7" w:rsidR="002648FF" w:rsidRPr="004B162A" w:rsidRDefault="003771E5" w:rsidP="0039188B">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color w:val="auto"/>
              </w:rPr>
              <w:t xml:space="preserve">(R2) Using the sample </w:t>
            </w:r>
            <w:r w:rsidR="00766AF3">
              <w:rPr>
                <w:rFonts w:asciiTheme="minorHAnsi" w:hAnsiTheme="minorHAnsi" w:cs="Times New Roman"/>
                <w:color w:val="auto"/>
              </w:rPr>
              <w:t xml:space="preserve">of instances where entity secures energy to serve Load via a Dynamic Schedule or Pseudo-Tie, determine if any of the </w:t>
            </w:r>
            <w:r w:rsidR="007773A2">
              <w:rPr>
                <w:rFonts w:asciiTheme="minorHAnsi" w:hAnsiTheme="minorHAnsi" w:cs="Times New Roman"/>
                <w:color w:val="auto"/>
              </w:rPr>
              <w:t>criteria</w:t>
            </w:r>
            <w:r w:rsidR="00766AF3">
              <w:rPr>
                <w:rFonts w:asciiTheme="minorHAnsi" w:hAnsiTheme="minorHAnsi" w:cs="Times New Roman"/>
                <w:color w:val="auto"/>
              </w:rPr>
              <w:t xml:space="preserve"> in </w:t>
            </w:r>
            <w:r w:rsidR="0042216A" w:rsidRPr="006E7ED6">
              <w:rPr>
                <w:rFonts w:asciiTheme="minorHAnsi" w:hAnsiTheme="minorHAnsi"/>
              </w:rPr>
              <w:t>Requirement R2</w:t>
            </w:r>
            <w:r w:rsidR="0042216A">
              <w:rPr>
                <w:rFonts w:asciiTheme="minorHAnsi" w:hAnsiTheme="minorHAnsi"/>
              </w:rPr>
              <w:t xml:space="preserve">, </w:t>
            </w:r>
            <w:r w:rsidR="00766AF3">
              <w:rPr>
                <w:rFonts w:asciiTheme="minorHAnsi" w:hAnsiTheme="minorHAnsi" w:cs="Times New Roman"/>
                <w:color w:val="auto"/>
              </w:rPr>
              <w:t>Parts 2.1-2.3 were met.</w:t>
            </w:r>
          </w:p>
        </w:tc>
      </w:tr>
      <w:tr w:rsidR="00766AF3" w:rsidRPr="00705BB3" w14:paraId="029DC170" w14:textId="77777777" w:rsidTr="0039188B">
        <w:tc>
          <w:tcPr>
            <w:tcW w:w="374" w:type="dxa"/>
          </w:tcPr>
          <w:p w14:paraId="79CC81A9" w14:textId="77777777" w:rsidR="00766AF3" w:rsidRPr="00705BB3" w:rsidRDefault="00766AF3" w:rsidP="0039188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597261C" w14:textId="09F6B51B" w:rsidR="00766AF3" w:rsidRDefault="00766AF3" w:rsidP="0039188B">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color w:val="auto"/>
              </w:rPr>
              <w:t xml:space="preserve">(R2) For instances where </w:t>
            </w:r>
            <w:r w:rsidR="0042216A" w:rsidRPr="006E7ED6">
              <w:rPr>
                <w:rFonts w:asciiTheme="minorHAnsi" w:hAnsiTheme="minorHAnsi"/>
              </w:rPr>
              <w:t>Requirement R2</w:t>
            </w:r>
            <w:r w:rsidR="0042216A">
              <w:rPr>
                <w:rFonts w:asciiTheme="minorHAnsi" w:hAnsiTheme="minorHAnsi"/>
              </w:rPr>
              <w:t xml:space="preserve">, </w:t>
            </w:r>
            <w:r>
              <w:rPr>
                <w:rFonts w:asciiTheme="minorHAnsi" w:hAnsiTheme="minorHAnsi" w:cs="Times New Roman"/>
                <w:color w:val="auto"/>
              </w:rPr>
              <w:t>Parts 2.1-2.3 were met, examine evidence that Confirmed Interchange was updated for future hours.</w:t>
            </w:r>
          </w:p>
        </w:tc>
      </w:tr>
      <w:tr w:rsidR="002648FF" w:rsidRPr="006C43BC" w14:paraId="49201D6D" w14:textId="77777777" w:rsidTr="0039188B">
        <w:tc>
          <w:tcPr>
            <w:tcW w:w="10790" w:type="dxa"/>
            <w:gridSpan w:val="2"/>
            <w:tcBorders>
              <w:bottom w:val="single" w:sz="4" w:space="0" w:color="auto"/>
            </w:tcBorders>
            <w:shd w:val="clear" w:color="auto" w:fill="DCDCFF"/>
          </w:tcPr>
          <w:p w14:paraId="6A07D26A" w14:textId="552523A2" w:rsidR="002648FF" w:rsidRPr="006C43BC" w:rsidRDefault="002648FF" w:rsidP="00766AF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015AE2B" w14:textId="77777777" w:rsidR="002648FF" w:rsidRPr="006C43BC" w:rsidRDefault="002648FF" w:rsidP="002648FF">
      <w:pPr>
        <w:widowControl w:val="0"/>
        <w:tabs>
          <w:tab w:val="left" w:pos="0"/>
        </w:tabs>
        <w:rPr>
          <w:rFonts w:asciiTheme="minorHAnsi" w:hAnsiTheme="minorHAnsi" w:cs="Times New Roman"/>
          <w:b/>
          <w:bCs/>
        </w:rPr>
      </w:pPr>
    </w:p>
    <w:p w14:paraId="0AC7A415" w14:textId="77777777" w:rsidR="002648FF" w:rsidRPr="006C43BC" w:rsidRDefault="002648FF" w:rsidP="002648FF">
      <w:pPr>
        <w:pStyle w:val="RqtSection"/>
        <w:rPr>
          <w:color w:val="264D74"/>
        </w:rPr>
      </w:pPr>
      <w:r w:rsidRPr="006C43BC">
        <w:t>Auditor</w:t>
      </w:r>
      <w:r>
        <w:t xml:space="preserve"> </w:t>
      </w:r>
      <w:r w:rsidRPr="006C43BC">
        <w:t>Notes:</w:t>
      </w:r>
      <w:r w:rsidRPr="006C43BC">
        <w:rPr>
          <w:color w:val="264D74"/>
        </w:rPr>
        <w:t xml:space="preserve"> </w:t>
      </w:r>
    </w:p>
    <w:p w14:paraId="27EE61DE"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F2D49E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7781A7A"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59C76CA"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E85ED42"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EC00EC" w14:textId="77777777" w:rsidR="002648FF" w:rsidRDefault="002648FF" w:rsidP="002648F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7CC6A3" w14:textId="6DCA42AC" w:rsidR="002648FF" w:rsidRPr="008F56D6" w:rsidRDefault="002648FF" w:rsidP="002648FF">
      <w:pPr>
        <w:pStyle w:val="SectHead"/>
      </w:pPr>
      <w:r>
        <w:lastRenderedPageBreak/>
        <w:t>R3</w:t>
      </w:r>
      <w:r w:rsidRPr="006C43BC">
        <w:t xml:space="preserve"> Supporting Evidence and Documentation</w:t>
      </w:r>
    </w:p>
    <w:p w14:paraId="780C8DC0" w14:textId="23570EE6" w:rsidR="00A1464D" w:rsidRPr="0093230A" w:rsidRDefault="00A1464D" w:rsidP="00A1464D">
      <w:pPr>
        <w:numPr>
          <w:ilvl w:val="1"/>
          <w:numId w:val="28"/>
        </w:numPr>
        <w:tabs>
          <w:tab w:val="num" w:pos="396"/>
        </w:tabs>
        <w:autoSpaceDE/>
        <w:autoSpaceDN/>
        <w:adjustRightInd/>
        <w:spacing w:before="120"/>
        <w:ind w:left="0" w:firstLine="0"/>
        <w:rPr>
          <w:rFonts w:asciiTheme="minorHAnsi" w:hAnsiTheme="minorHAnsi"/>
        </w:rPr>
      </w:pPr>
      <w:r w:rsidRPr="0093230A">
        <w:rPr>
          <w:rFonts w:asciiTheme="minorHAnsi" w:hAnsiTheme="minorHAnsi"/>
        </w:rPr>
        <w:t>Each Balancing Authority shall only implement or operate a Pseudo-Tie that is included in the NAESB</w:t>
      </w:r>
      <w:r w:rsidR="009B76AA">
        <w:rPr>
          <w:rStyle w:val="FootnoteReference"/>
          <w:rFonts w:asciiTheme="minorHAnsi" w:hAnsiTheme="minorHAnsi"/>
        </w:rPr>
        <w:footnoteReference w:id="4"/>
      </w:r>
      <w:r w:rsidRPr="0093230A">
        <w:rPr>
          <w:rFonts w:asciiTheme="minorHAnsi" w:hAnsiTheme="minorHAnsi"/>
        </w:rPr>
        <w:t xml:space="preserve"> Electric Industry Registry publication in order to support congestion management procedures. </w:t>
      </w:r>
    </w:p>
    <w:p w14:paraId="04DC2609" w14:textId="77777777" w:rsidR="00A1464D" w:rsidRPr="0093230A" w:rsidRDefault="00A1464D" w:rsidP="00A1464D">
      <w:pPr>
        <w:pStyle w:val="Measure"/>
        <w:numPr>
          <w:ilvl w:val="0"/>
          <w:numId w:val="0"/>
        </w:numPr>
        <w:tabs>
          <w:tab w:val="clear" w:pos="936"/>
          <w:tab w:val="left" w:pos="990"/>
          <w:tab w:val="left" w:pos="2592"/>
          <w:tab w:val="left" w:pos="3240"/>
        </w:tabs>
        <w:ind w:left="360"/>
        <w:rPr>
          <w:rFonts w:asciiTheme="minorHAnsi" w:hAnsiTheme="minorHAnsi"/>
        </w:rPr>
      </w:pPr>
    </w:p>
    <w:p w14:paraId="14A6EE3F" w14:textId="0CABE9C6" w:rsidR="00A1464D" w:rsidRPr="0093230A" w:rsidRDefault="00A1464D" w:rsidP="0093230A">
      <w:pPr>
        <w:pStyle w:val="Measure"/>
        <w:numPr>
          <w:ilvl w:val="0"/>
          <w:numId w:val="0"/>
        </w:numPr>
        <w:tabs>
          <w:tab w:val="clear" w:pos="936"/>
          <w:tab w:val="left" w:pos="990"/>
          <w:tab w:val="left" w:pos="2592"/>
          <w:tab w:val="left" w:pos="3240"/>
        </w:tabs>
        <w:rPr>
          <w:rFonts w:asciiTheme="minorHAnsi" w:hAnsiTheme="minorHAnsi"/>
        </w:rPr>
      </w:pPr>
      <w:r w:rsidRPr="0093230A">
        <w:rPr>
          <w:rFonts w:asciiTheme="minorHAnsi" w:hAnsiTheme="minorHAnsi"/>
          <w:b/>
        </w:rPr>
        <w:t>M3.</w:t>
      </w:r>
      <w:r w:rsidRPr="0093230A">
        <w:rPr>
          <w:rFonts w:asciiTheme="minorHAnsi" w:hAnsiTheme="minorHAnsi"/>
        </w:rPr>
        <w:t xml:space="preserve"> The Balancing Authority shall have evidence (such as dated and time-stamped electronic logs or other evidence) that it only implemented or operated a Pseudo-Tie that is included in the NAESB Electric Industry Registry publication. (R3)</w:t>
      </w:r>
    </w:p>
    <w:p w14:paraId="0CC02302" w14:textId="77777777" w:rsidR="00CE246F" w:rsidRDefault="00CE246F" w:rsidP="00CE246F">
      <w:pPr>
        <w:rPr>
          <w:rFonts w:asciiTheme="minorHAnsi" w:hAnsiTheme="minorHAnsi" w:cs="Times New Roman"/>
          <w:b/>
        </w:rPr>
      </w:pPr>
    </w:p>
    <w:p w14:paraId="7201E70C" w14:textId="77777777" w:rsidR="00CE246F" w:rsidRDefault="00CE246F" w:rsidP="00CE246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DCB523F" w14:textId="77777777" w:rsidR="009B76AA" w:rsidRDefault="00CE246F" w:rsidP="00CE246F">
      <w:pPr>
        <w:rPr>
          <w:rFonts w:asciiTheme="minorHAnsi" w:hAnsiTheme="minorHAnsi" w:cs="Times New Roman"/>
        </w:rPr>
      </w:pPr>
      <w:r w:rsidRPr="006C43BC">
        <w:rPr>
          <w:rFonts w:asciiTheme="minorHAnsi" w:hAnsiTheme="minorHAnsi" w:cs="Times New Roman"/>
          <w:b/>
        </w:rPr>
        <w:t xml:space="preserve">Question: </w:t>
      </w:r>
      <w:r w:rsidRPr="00356DFB">
        <w:rPr>
          <w:rFonts w:asciiTheme="minorHAnsi" w:hAnsiTheme="minorHAnsi" w:cs="Times New Roman"/>
        </w:rPr>
        <w:t>D</w:t>
      </w:r>
      <w:r>
        <w:rPr>
          <w:rFonts w:asciiTheme="minorHAnsi" w:hAnsiTheme="minorHAnsi" w:cs="Times New Roman"/>
        </w:rPr>
        <w:t>id entity implement or operate a Pseudo-Tie during the compliance monitoring period</w:t>
      </w:r>
      <w:r w:rsidRPr="00356DFB">
        <w:rPr>
          <w:rFonts w:asciiTheme="minorHAnsi" w:hAnsiTheme="minorHAnsi" w:cs="Times New Roman"/>
        </w:rPr>
        <w:t>?</w:t>
      </w:r>
    </w:p>
    <w:p w14:paraId="4E09B696" w14:textId="5FE931EB" w:rsidR="00CE246F" w:rsidRDefault="006A30C0" w:rsidP="00CE246F">
      <w:pPr>
        <w:rPr>
          <w:rFonts w:asciiTheme="minorHAnsi" w:hAnsiTheme="minorHAnsi" w:cs="Times New Roman"/>
        </w:rPr>
      </w:pPr>
      <w:sdt>
        <w:sdtPr>
          <w:rPr>
            <w:rFonts w:asciiTheme="minorHAnsi" w:hAnsiTheme="minorHAnsi" w:cs="Times New Roman"/>
          </w:rPr>
          <w:id w:val="833035545"/>
          <w14:checkbox>
            <w14:checked w14:val="0"/>
            <w14:checkedState w14:val="2612" w14:font="MS Gothic"/>
            <w14:uncheckedState w14:val="2610" w14:font="MS Gothic"/>
          </w14:checkbox>
        </w:sdtPr>
        <w:sdtEndPr/>
        <w:sdtContent>
          <w:r w:rsidR="00CE246F">
            <w:rPr>
              <w:rFonts w:ascii="MS Gothic" w:eastAsia="MS Gothic" w:hAnsi="MS Gothic" w:cs="Times New Roman" w:hint="eastAsia"/>
            </w:rPr>
            <w:t>☐</w:t>
          </w:r>
        </w:sdtContent>
      </w:sdt>
      <w:r w:rsidR="00CE246F" w:rsidRPr="00B879E6">
        <w:rPr>
          <w:rFonts w:asciiTheme="minorHAnsi" w:hAnsiTheme="minorHAnsi" w:cs="Times New Roman"/>
        </w:rPr>
        <w:t xml:space="preserve"> Yes   </w:t>
      </w:r>
      <w:sdt>
        <w:sdtPr>
          <w:rPr>
            <w:rFonts w:asciiTheme="minorHAnsi" w:hAnsiTheme="minorHAnsi" w:cs="Times New Roman"/>
          </w:rPr>
          <w:id w:val="-1766447557"/>
          <w14:checkbox>
            <w14:checked w14:val="0"/>
            <w14:checkedState w14:val="2612" w14:font="MS Gothic"/>
            <w14:uncheckedState w14:val="2610" w14:font="MS Gothic"/>
          </w14:checkbox>
        </w:sdtPr>
        <w:sdtEndPr/>
        <w:sdtContent>
          <w:r w:rsidR="00CE246F">
            <w:rPr>
              <w:rFonts w:ascii="MS Gothic" w:eastAsia="MS Gothic" w:hAnsi="MS Gothic" w:cs="Times New Roman" w:hint="eastAsia"/>
            </w:rPr>
            <w:t>☐</w:t>
          </w:r>
        </w:sdtContent>
      </w:sdt>
      <w:r w:rsidR="00CE246F" w:rsidRPr="00B879E6">
        <w:rPr>
          <w:rFonts w:asciiTheme="minorHAnsi" w:hAnsiTheme="minorHAnsi" w:cs="Times New Roman"/>
        </w:rPr>
        <w:t xml:space="preserve"> No</w:t>
      </w:r>
    </w:p>
    <w:p w14:paraId="65AE82D0" w14:textId="77777777" w:rsidR="00CE246F" w:rsidRDefault="00CE246F" w:rsidP="00CE246F">
      <w:pPr>
        <w:rPr>
          <w:rFonts w:asciiTheme="minorHAnsi" w:hAnsiTheme="minorHAnsi" w:cs="Times New Roman"/>
        </w:rPr>
      </w:pPr>
      <w:r>
        <w:rPr>
          <w:rFonts w:asciiTheme="minorHAnsi" w:hAnsiTheme="minorHAnsi" w:cs="Times New Roman"/>
        </w:rPr>
        <w:t>If yes, proceed to Evidence Requested section below.</w:t>
      </w:r>
    </w:p>
    <w:p w14:paraId="72DD5C19" w14:textId="77777777" w:rsidR="00CE246F" w:rsidRDefault="00CE246F" w:rsidP="00CE246F">
      <w:pPr>
        <w:rPr>
          <w:rFonts w:asciiTheme="minorHAnsi" w:hAnsiTheme="minorHAnsi" w:cs="Times New Roman"/>
        </w:rPr>
      </w:pPr>
      <w:r>
        <w:rPr>
          <w:rFonts w:asciiTheme="minorHAnsi" w:hAnsiTheme="minorHAnsi" w:cs="Times New Roman"/>
        </w:rPr>
        <w:t>If no, Requirement R1 is not applicable.</w:t>
      </w:r>
    </w:p>
    <w:p w14:paraId="3123128F" w14:textId="77777777" w:rsidR="00CE246F" w:rsidRPr="00557049" w:rsidRDefault="00CE246F" w:rsidP="00CE246F">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98BCBF2" w14:textId="77777777" w:rsidR="00CE246F" w:rsidRPr="00705BB3" w:rsidRDefault="00CE246F" w:rsidP="00CE246F">
      <w:pPr>
        <w:widowControl w:val="0"/>
        <w:shd w:val="clear" w:color="auto" w:fill="CDFFCD"/>
        <w:jc w:val="both"/>
        <w:rPr>
          <w:rFonts w:asciiTheme="minorHAnsi" w:hAnsiTheme="minorHAnsi" w:cs="Times New Roman"/>
          <w:bCs/>
          <w:color w:val="auto"/>
          <w:sz w:val="22"/>
          <w:szCs w:val="22"/>
        </w:rPr>
      </w:pPr>
    </w:p>
    <w:p w14:paraId="731BCE24" w14:textId="77777777" w:rsidR="00CE246F" w:rsidRPr="00705BB3" w:rsidRDefault="00CE246F" w:rsidP="00CE246F">
      <w:pPr>
        <w:widowControl w:val="0"/>
        <w:shd w:val="clear" w:color="auto" w:fill="CDFFCD"/>
        <w:jc w:val="both"/>
        <w:rPr>
          <w:rFonts w:asciiTheme="minorHAnsi" w:hAnsiTheme="minorHAnsi" w:cs="Times New Roman"/>
          <w:bCs/>
          <w:color w:val="auto"/>
          <w:sz w:val="22"/>
          <w:szCs w:val="22"/>
        </w:rPr>
      </w:pPr>
    </w:p>
    <w:p w14:paraId="4D9C973B" w14:textId="77777777" w:rsidR="002648FF" w:rsidRPr="006C43BC" w:rsidRDefault="002648FF" w:rsidP="002648FF">
      <w:pPr>
        <w:pStyle w:val="Measure"/>
        <w:numPr>
          <w:ilvl w:val="0"/>
          <w:numId w:val="0"/>
        </w:numPr>
        <w:tabs>
          <w:tab w:val="clear" w:pos="936"/>
          <w:tab w:val="left" w:pos="0"/>
          <w:tab w:val="left" w:pos="2592"/>
          <w:tab w:val="left" w:pos="3240"/>
        </w:tabs>
        <w:rPr>
          <w:rFonts w:asciiTheme="minorHAnsi" w:hAnsiTheme="minorHAnsi"/>
          <w:b/>
        </w:rPr>
      </w:pPr>
    </w:p>
    <w:p w14:paraId="0B62951E" w14:textId="77777777" w:rsidR="002648FF" w:rsidRPr="006C43BC" w:rsidRDefault="002648FF" w:rsidP="002648F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FFF5BD7" w14:textId="77777777" w:rsidR="002648FF" w:rsidRPr="00A5228E" w:rsidRDefault="002648FF" w:rsidP="002648F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2732CEE" w14:textId="77777777" w:rsidR="002648FF" w:rsidRPr="006C43BC" w:rsidRDefault="002648FF" w:rsidP="002648F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78FA0E4"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5C1C4363"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435210D8" w14:textId="77777777" w:rsidR="002648FF" w:rsidRPr="006C43BC" w:rsidRDefault="002648FF" w:rsidP="002648FF">
      <w:pPr>
        <w:widowControl w:val="0"/>
        <w:spacing w:line="266" w:lineRule="exact"/>
        <w:rPr>
          <w:rFonts w:asciiTheme="minorHAnsi" w:hAnsiTheme="minorHAnsi" w:cs="Times New Roman"/>
          <w:b/>
          <w:bCs/>
        </w:rPr>
      </w:pPr>
    </w:p>
    <w:p w14:paraId="46F8CB05" w14:textId="54937675" w:rsidR="002648FF" w:rsidRPr="006C43BC" w:rsidRDefault="002648FF" w:rsidP="002648FF">
      <w:pPr>
        <w:pStyle w:val="RqtSection"/>
        <w:rPr>
          <w:rFonts w:cstheme="minorHAnsi"/>
          <w:i/>
          <w:iCs/>
        </w:rPr>
      </w:pPr>
      <w:r>
        <w:t>Evidence Requested</w:t>
      </w:r>
      <w:r w:rsidR="009A568F">
        <w:t>:</w:t>
      </w:r>
      <w:r w:rsidR="008E534A">
        <w:t xml:space="preserve"> </w:t>
      </w:r>
      <w:r w:rsidRPr="002648FF">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2648FF" w:rsidRPr="006C43BC" w14:paraId="39D448CC" w14:textId="77777777" w:rsidTr="0039188B">
        <w:tc>
          <w:tcPr>
            <w:tcW w:w="10790" w:type="dxa"/>
            <w:shd w:val="clear" w:color="auto" w:fill="DCDCFF"/>
          </w:tcPr>
          <w:p w14:paraId="12CF67F8" w14:textId="77777777" w:rsidR="002648FF" w:rsidRPr="00705BB3" w:rsidRDefault="002648FF" w:rsidP="0039188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648FF" w:rsidRPr="00676D1E" w14:paraId="40D68F2E" w14:textId="77777777" w:rsidTr="0039188B">
        <w:tc>
          <w:tcPr>
            <w:tcW w:w="10790" w:type="dxa"/>
            <w:shd w:val="clear" w:color="auto" w:fill="DCDCFF"/>
          </w:tcPr>
          <w:p w14:paraId="1FF97A53" w14:textId="3F093D5F" w:rsidR="002648FF" w:rsidRDefault="00241F98" w:rsidP="00B06949">
            <w:pPr>
              <w:widowControl w:val="0"/>
              <w:jc w:val="both"/>
              <w:rPr>
                <w:rFonts w:asciiTheme="minorHAnsi" w:hAnsiTheme="minorHAnsi" w:cs="Times New Roman"/>
                <w:color w:val="auto"/>
              </w:rPr>
            </w:pPr>
            <w:r>
              <w:rPr>
                <w:rFonts w:asciiTheme="minorHAnsi" w:hAnsiTheme="minorHAnsi" w:cs="Times New Roman"/>
                <w:color w:val="auto"/>
              </w:rPr>
              <w:t>E</w:t>
            </w:r>
            <w:r w:rsidR="0042216A">
              <w:rPr>
                <w:rFonts w:asciiTheme="minorHAnsi" w:hAnsiTheme="minorHAnsi" w:cs="Times New Roman"/>
                <w:color w:val="auto"/>
              </w:rPr>
              <w:t xml:space="preserve">nergy </w:t>
            </w:r>
            <w:r>
              <w:rPr>
                <w:rFonts w:asciiTheme="minorHAnsi" w:hAnsiTheme="minorHAnsi" w:cs="Times New Roman"/>
                <w:color w:val="auto"/>
              </w:rPr>
              <w:t>M</w:t>
            </w:r>
            <w:r w:rsidR="0042216A">
              <w:rPr>
                <w:rFonts w:asciiTheme="minorHAnsi" w:hAnsiTheme="minorHAnsi" w:cs="Times New Roman"/>
                <w:color w:val="auto"/>
              </w:rPr>
              <w:t>anagement System</w:t>
            </w:r>
            <w:r>
              <w:rPr>
                <w:rFonts w:asciiTheme="minorHAnsi" w:hAnsiTheme="minorHAnsi" w:cs="Times New Roman"/>
                <w:color w:val="auto"/>
              </w:rPr>
              <w:t xml:space="preserve"> displays or other evidence to demonstrate the list of values used in calculating the Net Actual Interchange</w:t>
            </w:r>
            <w:r w:rsidR="00B06949">
              <w:rPr>
                <w:rFonts w:asciiTheme="minorHAnsi" w:hAnsiTheme="minorHAnsi" w:cs="Times New Roman"/>
                <w:color w:val="auto"/>
              </w:rPr>
              <w:t>, including</w:t>
            </w:r>
            <w:r>
              <w:rPr>
                <w:rFonts w:asciiTheme="minorHAnsi" w:hAnsiTheme="minorHAnsi" w:cs="Times New Roman"/>
                <w:color w:val="auto"/>
              </w:rPr>
              <w:t xml:space="preserve"> </w:t>
            </w:r>
            <w:r w:rsidR="00B06949">
              <w:rPr>
                <w:rFonts w:asciiTheme="minorHAnsi" w:hAnsiTheme="minorHAnsi" w:cs="Times New Roman"/>
                <w:color w:val="auto"/>
              </w:rPr>
              <w:t xml:space="preserve">the </w:t>
            </w:r>
            <w:r>
              <w:rPr>
                <w:rFonts w:asciiTheme="minorHAnsi" w:hAnsiTheme="minorHAnsi" w:cs="Times New Roman"/>
                <w:color w:val="auto"/>
              </w:rPr>
              <w:t xml:space="preserve">Pseudo-Ties implemented and operated during the </w:t>
            </w:r>
            <w:r w:rsidR="00B06949">
              <w:rPr>
                <w:rFonts w:asciiTheme="minorHAnsi" w:hAnsiTheme="minorHAnsi" w:cs="Times New Roman"/>
                <w:color w:val="auto"/>
              </w:rPr>
              <w:t xml:space="preserve">audit </w:t>
            </w:r>
            <w:r>
              <w:rPr>
                <w:rFonts w:asciiTheme="minorHAnsi" w:hAnsiTheme="minorHAnsi" w:cs="Times New Roman"/>
                <w:color w:val="auto"/>
              </w:rPr>
              <w:t>period.</w:t>
            </w:r>
          </w:p>
        </w:tc>
      </w:tr>
      <w:tr w:rsidR="00241F98" w:rsidRPr="00676D1E" w14:paraId="426482CC" w14:textId="77777777" w:rsidTr="0039188B">
        <w:tc>
          <w:tcPr>
            <w:tcW w:w="10790" w:type="dxa"/>
            <w:shd w:val="clear" w:color="auto" w:fill="DCDCFF"/>
          </w:tcPr>
          <w:p w14:paraId="644B9373" w14:textId="78F65EF6" w:rsidR="00241F98" w:rsidRDefault="00241F98" w:rsidP="00241F98">
            <w:pPr>
              <w:widowControl w:val="0"/>
              <w:jc w:val="both"/>
              <w:rPr>
                <w:rFonts w:asciiTheme="minorHAnsi" w:hAnsiTheme="minorHAnsi" w:cs="Times New Roman"/>
                <w:color w:val="auto"/>
              </w:rPr>
            </w:pPr>
            <w:r>
              <w:rPr>
                <w:rFonts w:asciiTheme="minorHAnsi" w:hAnsiTheme="minorHAnsi" w:cs="Times New Roman"/>
                <w:color w:val="auto"/>
              </w:rPr>
              <w:t>NAESB Electric Industry Registry publication to demonstrate that all of the entity’s Pseudo-Ties are included.</w:t>
            </w:r>
          </w:p>
        </w:tc>
      </w:tr>
    </w:tbl>
    <w:p w14:paraId="023FA710" w14:textId="77777777" w:rsidR="002648FF" w:rsidRDefault="002648FF" w:rsidP="002648FF">
      <w:pPr>
        <w:widowControl w:val="0"/>
        <w:spacing w:line="266" w:lineRule="exact"/>
        <w:rPr>
          <w:rFonts w:asciiTheme="minorHAnsi" w:hAnsiTheme="minorHAnsi" w:cs="Times New Roman"/>
          <w:b/>
          <w:bCs/>
          <w:color w:val="auto"/>
        </w:rPr>
      </w:pPr>
    </w:p>
    <w:p w14:paraId="5EF8D200" w14:textId="77777777" w:rsidR="002648FF" w:rsidRPr="006C43BC" w:rsidRDefault="002648FF" w:rsidP="002648F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648FF" w:rsidRPr="00812336" w14:paraId="499D15F8" w14:textId="77777777" w:rsidTr="0039188B">
        <w:tc>
          <w:tcPr>
            <w:tcW w:w="10995" w:type="dxa"/>
            <w:gridSpan w:val="6"/>
            <w:shd w:val="clear" w:color="auto" w:fill="DCDCFF"/>
            <w:vAlign w:val="bottom"/>
          </w:tcPr>
          <w:p w14:paraId="0A9D24E5" w14:textId="77777777" w:rsidR="002648FF" w:rsidRPr="00812336" w:rsidRDefault="002648FF" w:rsidP="0039188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648FF" w:rsidRPr="00812336" w14:paraId="08C166F2" w14:textId="77777777" w:rsidTr="0039188B">
        <w:tc>
          <w:tcPr>
            <w:tcW w:w="2340" w:type="dxa"/>
            <w:shd w:val="clear" w:color="auto" w:fill="DCDCFF"/>
            <w:vAlign w:val="bottom"/>
          </w:tcPr>
          <w:p w14:paraId="2A60AE73"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114612"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BA07A3"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2C3F604"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2C1F6AE"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6215B89"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648FF" w:rsidRPr="00705BB3" w14:paraId="3AA86B1F" w14:textId="77777777" w:rsidTr="0039188B">
        <w:tc>
          <w:tcPr>
            <w:tcW w:w="2340" w:type="dxa"/>
            <w:shd w:val="clear" w:color="auto" w:fill="CDFFCD"/>
          </w:tcPr>
          <w:p w14:paraId="7E97130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C1C777"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0DE47E"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037B75"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A40E7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CCF38D"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56C372BB" w14:textId="77777777" w:rsidTr="0039188B">
        <w:tc>
          <w:tcPr>
            <w:tcW w:w="2340" w:type="dxa"/>
            <w:shd w:val="clear" w:color="auto" w:fill="CDFFCD"/>
          </w:tcPr>
          <w:p w14:paraId="6A226AB0"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63C764"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E51EE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E0042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0CEDE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F10135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15FFD834" w14:textId="77777777" w:rsidTr="0039188B">
        <w:tc>
          <w:tcPr>
            <w:tcW w:w="2340" w:type="dxa"/>
            <w:shd w:val="clear" w:color="auto" w:fill="CDFFCD"/>
          </w:tcPr>
          <w:p w14:paraId="231566B2"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1190A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E85121"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7D4AB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A8EFC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038B33"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bl>
    <w:p w14:paraId="131610F8" w14:textId="77777777" w:rsidR="002648FF" w:rsidRPr="006C43BC" w:rsidRDefault="002648FF" w:rsidP="002648FF">
      <w:pPr>
        <w:widowControl w:val="0"/>
        <w:rPr>
          <w:rFonts w:asciiTheme="minorHAnsi" w:hAnsiTheme="minorHAnsi" w:cs="Times New Roman"/>
        </w:rPr>
      </w:pPr>
    </w:p>
    <w:p w14:paraId="2ECD3057" w14:textId="77777777" w:rsidR="008E534A" w:rsidRDefault="008E534A" w:rsidP="002648FF">
      <w:pPr>
        <w:pStyle w:val="RqtSection"/>
      </w:pPr>
    </w:p>
    <w:p w14:paraId="5095B7E9" w14:textId="77777777" w:rsidR="002648FF" w:rsidRPr="006C43BC" w:rsidRDefault="002648FF" w:rsidP="002648F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648FF" w:rsidRPr="00705BB3" w14:paraId="6861B36A" w14:textId="77777777" w:rsidTr="0039188B">
        <w:tc>
          <w:tcPr>
            <w:tcW w:w="11016" w:type="dxa"/>
            <w:shd w:val="clear" w:color="auto" w:fill="auto"/>
          </w:tcPr>
          <w:p w14:paraId="1ABD39DE" w14:textId="77777777" w:rsidR="002648FF" w:rsidRPr="00705BB3" w:rsidRDefault="002648FF" w:rsidP="0039188B">
            <w:pPr>
              <w:widowControl w:val="0"/>
              <w:rPr>
                <w:rFonts w:asciiTheme="minorHAnsi" w:hAnsiTheme="minorHAnsi" w:cs="Times New Roman"/>
                <w:sz w:val="22"/>
                <w:szCs w:val="22"/>
              </w:rPr>
            </w:pPr>
          </w:p>
        </w:tc>
      </w:tr>
      <w:tr w:rsidR="002648FF" w:rsidRPr="00705BB3" w14:paraId="6150D9D0" w14:textId="77777777" w:rsidTr="0039188B">
        <w:tc>
          <w:tcPr>
            <w:tcW w:w="11016" w:type="dxa"/>
            <w:shd w:val="clear" w:color="auto" w:fill="auto"/>
          </w:tcPr>
          <w:p w14:paraId="072CEB70" w14:textId="77777777" w:rsidR="002648FF" w:rsidRPr="00705BB3" w:rsidRDefault="002648FF" w:rsidP="0039188B">
            <w:pPr>
              <w:widowControl w:val="0"/>
              <w:rPr>
                <w:rFonts w:asciiTheme="minorHAnsi" w:hAnsiTheme="minorHAnsi" w:cs="Times New Roman"/>
                <w:sz w:val="22"/>
                <w:szCs w:val="22"/>
              </w:rPr>
            </w:pPr>
          </w:p>
        </w:tc>
      </w:tr>
      <w:tr w:rsidR="002648FF" w:rsidRPr="00705BB3" w14:paraId="058130D3" w14:textId="77777777" w:rsidTr="0039188B">
        <w:tc>
          <w:tcPr>
            <w:tcW w:w="11016" w:type="dxa"/>
            <w:shd w:val="clear" w:color="auto" w:fill="auto"/>
          </w:tcPr>
          <w:p w14:paraId="75C0EE41" w14:textId="77777777" w:rsidR="002648FF" w:rsidRPr="00705BB3" w:rsidRDefault="002648FF" w:rsidP="0039188B">
            <w:pPr>
              <w:widowControl w:val="0"/>
              <w:rPr>
                <w:rFonts w:asciiTheme="minorHAnsi" w:hAnsiTheme="minorHAnsi" w:cs="Times New Roman"/>
                <w:sz w:val="22"/>
                <w:szCs w:val="22"/>
              </w:rPr>
            </w:pPr>
          </w:p>
        </w:tc>
      </w:tr>
    </w:tbl>
    <w:p w14:paraId="483AAFD8" w14:textId="77777777" w:rsidR="002648FF" w:rsidRPr="006C43BC" w:rsidRDefault="002648FF" w:rsidP="002648FF">
      <w:pPr>
        <w:widowControl w:val="0"/>
        <w:rPr>
          <w:rFonts w:asciiTheme="minorHAnsi" w:hAnsiTheme="minorHAnsi" w:cs="Times New Roman"/>
        </w:rPr>
      </w:pPr>
    </w:p>
    <w:p w14:paraId="0E78DD38" w14:textId="38343DA5" w:rsidR="002648FF" w:rsidRPr="00722443" w:rsidRDefault="002648FF" w:rsidP="002648F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67F1F">
        <w:t>INT-004-3.1</w:t>
      </w:r>
      <w:r>
        <w:t>, R3</w:t>
      </w:r>
    </w:p>
    <w:p w14:paraId="4DCB6876" w14:textId="77777777" w:rsidR="002648FF" w:rsidRPr="006C43BC" w:rsidRDefault="002648FF" w:rsidP="002648F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48FF" w:rsidRPr="00705BB3" w14:paraId="34482463" w14:textId="77777777" w:rsidTr="0039188B">
        <w:tc>
          <w:tcPr>
            <w:tcW w:w="374" w:type="dxa"/>
          </w:tcPr>
          <w:p w14:paraId="0F735CC6" w14:textId="77777777" w:rsidR="002648FF" w:rsidRPr="00705BB3" w:rsidRDefault="002648FF" w:rsidP="0039188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7BACC9A" w14:textId="5F7D5F3D" w:rsidR="002648FF" w:rsidRPr="00023D31" w:rsidRDefault="00CC0504" w:rsidP="00A54D5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w:t>
            </w:r>
            <w:r w:rsidR="00631F95">
              <w:rPr>
                <w:rFonts w:asciiTheme="minorHAnsi" w:hAnsiTheme="minorHAnsi" w:cs="Times New Roman"/>
                <w:color w:val="auto"/>
              </w:rPr>
              <w:t xml:space="preserve"> </w:t>
            </w:r>
            <w:r>
              <w:rPr>
                <w:rFonts w:asciiTheme="minorHAnsi" w:hAnsiTheme="minorHAnsi" w:cs="Times New Roman"/>
                <w:color w:val="auto"/>
              </w:rPr>
              <w:t>For all</w:t>
            </w:r>
            <w:r w:rsidR="00A54D55">
              <w:rPr>
                <w:rFonts w:asciiTheme="minorHAnsi" w:hAnsiTheme="minorHAnsi" w:cs="Times New Roman"/>
                <w:color w:val="auto"/>
              </w:rPr>
              <w:t>,</w:t>
            </w:r>
            <w:r>
              <w:rPr>
                <w:rFonts w:asciiTheme="minorHAnsi" w:hAnsiTheme="minorHAnsi" w:cs="Times New Roman"/>
                <w:color w:val="auto"/>
              </w:rPr>
              <w:t xml:space="preserve"> or a sample of</w:t>
            </w:r>
            <w:r w:rsidR="00A54D55">
              <w:rPr>
                <w:rFonts w:asciiTheme="minorHAnsi" w:hAnsiTheme="minorHAnsi" w:cs="Times New Roman"/>
                <w:color w:val="auto"/>
              </w:rPr>
              <w:t>,</w:t>
            </w:r>
            <w:r>
              <w:rPr>
                <w:rFonts w:asciiTheme="minorHAnsi" w:hAnsiTheme="minorHAnsi" w:cs="Times New Roman"/>
                <w:color w:val="auto"/>
              </w:rPr>
              <w:t xml:space="preserve"> </w:t>
            </w:r>
            <w:r w:rsidR="00CE246F">
              <w:rPr>
                <w:rFonts w:asciiTheme="minorHAnsi" w:hAnsiTheme="minorHAnsi" w:cs="Times New Roman"/>
                <w:color w:val="auto"/>
              </w:rPr>
              <w:t>Pseudo-Ties implemented by entity during the compliance monitoring period, verify that</w:t>
            </w:r>
            <w:r w:rsidR="00A54D55">
              <w:rPr>
                <w:rFonts w:asciiTheme="minorHAnsi" w:hAnsiTheme="minorHAnsi" w:cs="Times New Roman"/>
                <w:color w:val="auto"/>
              </w:rPr>
              <w:t xml:space="preserve"> the</w:t>
            </w:r>
            <w:r w:rsidR="00CE246F">
              <w:rPr>
                <w:rFonts w:asciiTheme="minorHAnsi" w:hAnsiTheme="minorHAnsi" w:cs="Times New Roman"/>
                <w:color w:val="auto"/>
              </w:rPr>
              <w:t xml:space="preserve"> Pseudo-Tie</w:t>
            </w:r>
            <w:r w:rsidR="00A54D55">
              <w:rPr>
                <w:rFonts w:asciiTheme="minorHAnsi" w:hAnsiTheme="minorHAnsi" w:cs="Times New Roman"/>
                <w:color w:val="auto"/>
              </w:rPr>
              <w:t>s</w:t>
            </w:r>
            <w:r w:rsidR="00CE246F">
              <w:rPr>
                <w:rFonts w:asciiTheme="minorHAnsi" w:hAnsiTheme="minorHAnsi" w:cs="Times New Roman"/>
                <w:color w:val="auto"/>
              </w:rPr>
              <w:t xml:space="preserve"> </w:t>
            </w:r>
            <w:r w:rsidR="00A54D55">
              <w:rPr>
                <w:rFonts w:asciiTheme="minorHAnsi" w:hAnsiTheme="minorHAnsi" w:cs="Times New Roman"/>
                <w:color w:val="auto"/>
              </w:rPr>
              <w:t xml:space="preserve">are </w:t>
            </w:r>
            <w:r w:rsidR="00CE246F">
              <w:rPr>
                <w:rFonts w:asciiTheme="minorHAnsi" w:hAnsiTheme="minorHAnsi" w:cs="Times New Roman"/>
                <w:color w:val="auto"/>
              </w:rPr>
              <w:t>included in NAESB Electric Industry Registry publication.</w:t>
            </w:r>
          </w:p>
        </w:tc>
      </w:tr>
      <w:tr w:rsidR="002648FF" w:rsidRPr="006C43BC" w14:paraId="0C9497F5" w14:textId="77777777" w:rsidTr="0039188B">
        <w:tc>
          <w:tcPr>
            <w:tcW w:w="10790" w:type="dxa"/>
            <w:gridSpan w:val="2"/>
            <w:tcBorders>
              <w:bottom w:val="single" w:sz="4" w:space="0" w:color="auto"/>
            </w:tcBorders>
            <w:shd w:val="clear" w:color="auto" w:fill="DCDCFF"/>
          </w:tcPr>
          <w:p w14:paraId="0B1DAD78" w14:textId="4A90C79C" w:rsidR="002648FF" w:rsidRPr="006C43BC" w:rsidRDefault="002648FF" w:rsidP="00B0694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A54D55">
              <w:rPr>
                <w:rFonts w:asciiTheme="minorHAnsi" w:hAnsiTheme="minorHAnsi" w:cs="Times New Roman"/>
                <w:bCs/>
                <w:color w:val="auto"/>
              </w:rPr>
              <w:t xml:space="preserve"> Auditors </w:t>
            </w:r>
            <w:r w:rsidR="00B06949">
              <w:rPr>
                <w:rFonts w:asciiTheme="minorHAnsi" w:hAnsiTheme="minorHAnsi" w:cs="Times New Roman"/>
                <w:bCs/>
                <w:color w:val="auto"/>
              </w:rPr>
              <w:t xml:space="preserve">may </w:t>
            </w:r>
            <w:r w:rsidR="00A54D55">
              <w:rPr>
                <w:rFonts w:asciiTheme="minorHAnsi" w:hAnsiTheme="minorHAnsi" w:cs="Times New Roman"/>
                <w:bCs/>
                <w:color w:val="auto"/>
              </w:rPr>
              <w:t xml:space="preserve">review the values included in the calculation of Net Actual Interchange used in the entity’s ACE equation to verify </w:t>
            </w:r>
            <w:r w:rsidR="006D55CF">
              <w:rPr>
                <w:rFonts w:asciiTheme="minorHAnsi" w:hAnsiTheme="minorHAnsi" w:cs="Times New Roman"/>
                <w:bCs/>
                <w:color w:val="auto"/>
              </w:rPr>
              <w:t>the data for</w:t>
            </w:r>
            <w:r w:rsidR="00A54D55">
              <w:rPr>
                <w:rFonts w:asciiTheme="minorHAnsi" w:hAnsiTheme="minorHAnsi" w:cs="Times New Roman"/>
                <w:bCs/>
                <w:color w:val="auto"/>
              </w:rPr>
              <w:t xml:space="preserve"> any Pseudo-Ties </w:t>
            </w:r>
            <w:r w:rsidR="006D55CF">
              <w:rPr>
                <w:rFonts w:asciiTheme="minorHAnsi" w:hAnsiTheme="minorHAnsi" w:cs="Times New Roman"/>
                <w:bCs/>
                <w:color w:val="auto"/>
              </w:rPr>
              <w:t xml:space="preserve">that </w:t>
            </w:r>
            <w:r w:rsidR="00A54D55">
              <w:rPr>
                <w:rFonts w:asciiTheme="minorHAnsi" w:hAnsiTheme="minorHAnsi" w:cs="Times New Roman"/>
                <w:bCs/>
                <w:color w:val="auto"/>
              </w:rPr>
              <w:t>were implemented or operated by the entity</w:t>
            </w:r>
            <w:r w:rsidR="006D55CF">
              <w:rPr>
                <w:rFonts w:asciiTheme="minorHAnsi" w:hAnsiTheme="minorHAnsi" w:cs="Times New Roman"/>
                <w:bCs/>
                <w:color w:val="auto"/>
              </w:rPr>
              <w:t xml:space="preserve"> during the </w:t>
            </w:r>
            <w:r w:rsidR="00B06949">
              <w:rPr>
                <w:rFonts w:asciiTheme="minorHAnsi" w:hAnsiTheme="minorHAnsi" w:cs="Times New Roman"/>
                <w:bCs/>
                <w:color w:val="auto"/>
              </w:rPr>
              <w:t xml:space="preserve">audit </w:t>
            </w:r>
            <w:r w:rsidR="006D55CF">
              <w:rPr>
                <w:rFonts w:asciiTheme="minorHAnsi" w:hAnsiTheme="minorHAnsi" w:cs="Times New Roman"/>
                <w:bCs/>
                <w:color w:val="auto"/>
              </w:rPr>
              <w:t>period</w:t>
            </w:r>
            <w:r w:rsidR="00A54D55">
              <w:rPr>
                <w:rFonts w:asciiTheme="minorHAnsi" w:hAnsiTheme="minorHAnsi" w:cs="Times New Roman"/>
                <w:bCs/>
                <w:color w:val="auto"/>
              </w:rPr>
              <w:t>.</w:t>
            </w:r>
          </w:p>
        </w:tc>
      </w:tr>
    </w:tbl>
    <w:p w14:paraId="3B9650CB" w14:textId="77777777" w:rsidR="002648FF" w:rsidRPr="006C43BC" w:rsidRDefault="002648FF" w:rsidP="002648FF">
      <w:pPr>
        <w:widowControl w:val="0"/>
        <w:tabs>
          <w:tab w:val="left" w:pos="0"/>
        </w:tabs>
        <w:rPr>
          <w:rFonts w:asciiTheme="minorHAnsi" w:hAnsiTheme="minorHAnsi" w:cs="Times New Roman"/>
          <w:b/>
          <w:bCs/>
        </w:rPr>
      </w:pPr>
    </w:p>
    <w:p w14:paraId="23C25BB5" w14:textId="77777777" w:rsidR="002648FF" w:rsidRDefault="002648FF" w:rsidP="002648FF">
      <w:pPr>
        <w:pStyle w:val="RqtSection"/>
      </w:pPr>
    </w:p>
    <w:p w14:paraId="10A65DD5" w14:textId="77777777" w:rsidR="002648FF" w:rsidRPr="006C43BC" w:rsidRDefault="002648FF" w:rsidP="002648FF">
      <w:pPr>
        <w:pStyle w:val="RqtSection"/>
        <w:rPr>
          <w:color w:val="264D74"/>
        </w:rPr>
      </w:pPr>
      <w:r w:rsidRPr="006C43BC">
        <w:t>Auditor</w:t>
      </w:r>
      <w:r>
        <w:t xml:space="preserve"> </w:t>
      </w:r>
      <w:r w:rsidRPr="006C43BC">
        <w:t>Notes:</w:t>
      </w:r>
      <w:r w:rsidRPr="006C43BC">
        <w:rPr>
          <w:color w:val="264D74"/>
        </w:rPr>
        <w:t xml:space="preserve"> </w:t>
      </w:r>
    </w:p>
    <w:p w14:paraId="596A5EF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C8FD9E"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B68DD6"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6C12C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181894"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550CAB2" w14:textId="21EDE586" w:rsidR="002648FF" w:rsidRDefault="002648FF" w:rsidP="002648F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4" w:name="_Toc330463564"/>
      <w:r w:rsidRPr="002A01BD">
        <w:lastRenderedPageBreak/>
        <w:t>Additional</w:t>
      </w:r>
      <w:r w:rsidR="003C20AB" w:rsidRPr="002A01BD">
        <w:t xml:space="preserve"> I</w:t>
      </w:r>
      <w:r w:rsidR="00047231" w:rsidRPr="002A01BD">
        <w:t>n</w:t>
      </w:r>
      <w:r w:rsidR="00353E3C" w:rsidRPr="002A01BD">
        <w:t>formation</w:t>
      </w:r>
      <w:bookmarkEnd w:id="4"/>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Default="00CC7E3E" w:rsidP="00D97E2A">
      <w:pPr>
        <w:pStyle w:val="SubHead"/>
        <w:rPr>
          <w:rStyle w:val="SubtitleChar"/>
          <w:rFonts w:asciiTheme="minorHAnsi" w:hAnsiTheme="minorHAnsi" w:cs="Tahoma"/>
          <w:i w:val="0"/>
          <w:color w:val="auto"/>
        </w:rPr>
      </w:pPr>
      <w:bookmarkStart w:id="5" w:name="_Toc330463565"/>
      <w:r w:rsidRPr="006C43BC">
        <w:rPr>
          <w:rStyle w:val="SubtitleChar"/>
          <w:rFonts w:asciiTheme="minorHAnsi" w:hAnsiTheme="minorHAnsi" w:cs="Tahoma"/>
          <w:i w:val="0"/>
          <w:color w:val="auto"/>
        </w:rPr>
        <w:t>Reliability Standard</w:t>
      </w:r>
    </w:p>
    <w:p w14:paraId="2C4E37D1" w14:textId="0EFB9C00" w:rsidR="00CE246F" w:rsidRPr="006C43BC" w:rsidRDefault="00352F6F" w:rsidP="00D97E2A">
      <w:pPr>
        <w:pStyle w:val="SubHead"/>
      </w:pPr>
      <w:r>
        <w:object w:dxaOrig="1513" w:dyaOrig="984" w14:anchorId="659C6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bat.Document.11" ShapeID="_x0000_i1025" DrawAspect="Icon" ObjectID="_1584785128" r:id="rId14"/>
        </w:object>
      </w:r>
    </w:p>
    <w:p w14:paraId="3A827235" w14:textId="085D71BC" w:rsidR="00ED6C9C" w:rsidRPr="006C43BC" w:rsidRDefault="00ED6C9C" w:rsidP="00CC7E3E">
      <w:pPr>
        <w:rPr>
          <w:rFonts w:asciiTheme="minorHAnsi" w:hAnsiTheme="minorHAnsi"/>
        </w:rPr>
      </w:pPr>
    </w:p>
    <w:p w14:paraId="39643EC2" w14:textId="1CA4B670" w:rsidR="00490283" w:rsidRPr="006C43BC" w:rsidRDefault="00490283" w:rsidP="00D97E2A">
      <w:pPr>
        <w:pStyle w:val="SubHead"/>
        <w:rPr>
          <w:i/>
        </w:rPr>
      </w:pPr>
      <w:bookmarkStart w:id="6" w:name="_Toc323042589"/>
      <w:bookmarkStart w:id="7" w:name="_Toc330463566"/>
      <w:bookmarkEnd w:id="5"/>
      <w:r w:rsidRPr="006C43BC">
        <w:t>Sampling Methodology</w:t>
      </w:r>
      <w:bookmarkEnd w:id="6"/>
      <w:bookmarkEnd w:id="7"/>
      <w:r w:rsidR="002A01BD">
        <w:t xml:space="preserve"> </w:t>
      </w:r>
    </w:p>
    <w:p w14:paraId="0718509E" w14:textId="014AE078"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9A568F">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4E74A50A" w:rsidR="00CC7E3E" w:rsidRPr="006C43BC" w:rsidRDefault="00CC7E3E" w:rsidP="00CC440E">
      <w:pPr>
        <w:pStyle w:val="SubHead"/>
        <w:rPr>
          <w:rFonts w:cs="Arial"/>
          <w:i/>
        </w:rPr>
      </w:pPr>
      <w:r w:rsidRPr="006C43BC">
        <w:t>Regulatory Language</w:t>
      </w:r>
    </w:p>
    <w:p w14:paraId="3FF67328" w14:textId="77777777" w:rsidR="00FD4903" w:rsidRPr="006C43BC" w:rsidRDefault="00FD4903" w:rsidP="00CC7E3E">
      <w:pPr>
        <w:rPr>
          <w:rFonts w:asciiTheme="minorHAnsi" w:hAnsiTheme="minorHAnsi"/>
        </w:rPr>
      </w:pPr>
    </w:p>
    <w:p w14:paraId="1ABFFBF0" w14:textId="5230D791" w:rsidR="002944D6" w:rsidRPr="002944D6" w:rsidRDefault="002944D6" w:rsidP="00220AF2">
      <w:pPr>
        <w:pStyle w:val="FERCparanumber"/>
        <w:tabs>
          <w:tab w:val="clear" w:pos="720"/>
        </w:tabs>
        <w:rPr>
          <w:b/>
          <w:sz w:val="24"/>
        </w:rPr>
      </w:pPr>
      <w:r w:rsidRPr="002944D6">
        <w:rPr>
          <w:b/>
          <w:sz w:val="24"/>
        </w:rPr>
        <w:t>Regulatory Background</w:t>
      </w:r>
    </w:p>
    <w:p w14:paraId="25F3FDBE" w14:textId="77777777" w:rsidR="00CD7792" w:rsidRDefault="00412701" w:rsidP="00220AF2">
      <w:pPr>
        <w:pStyle w:val="FERCparanumber"/>
        <w:tabs>
          <w:tab w:val="clear" w:pos="720"/>
        </w:tabs>
        <w:rPr>
          <w:sz w:val="24"/>
        </w:rPr>
      </w:pPr>
      <w:r w:rsidRPr="00412701">
        <w:rPr>
          <w:sz w:val="24"/>
        </w:rPr>
        <w:t xml:space="preserve">INT-004-1 </w:t>
      </w:r>
      <w:r>
        <w:rPr>
          <w:sz w:val="24"/>
        </w:rPr>
        <w:t xml:space="preserve">was approved by the Commission in </w:t>
      </w:r>
      <w:hyperlink r:id="rId15" w:history="1">
        <w:r w:rsidRPr="00C201D8">
          <w:rPr>
            <w:rStyle w:val="Hyperlink"/>
            <w:sz w:val="24"/>
          </w:rPr>
          <w:t xml:space="preserve">Order </w:t>
        </w:r>
        <w:r w:rsidR="009E3440" w:rsidRPr="00C201D8">
          <w:rPr>
            <w:rStyle w:val="Hyperlink"/>
            <w:sz w:val="24"/>
          </w:rPr>
          <w:t xml:space="preserve">No. </w:t>
        </w:r>
        <w:r w:rsidRPr="00C201D8">
          <w:rPr>
            <w:rStyle w:val="Hyperlink"/>
            <w:sz w:val="24"/>
          </w:rPr>
          <w:t>693</w:t>
        </w:r>
      </w:hyperlink>
      <w:r>
        <w:rPr>
          <w:sz w:val="24"/>
        </w:rPr>
        <w:t xml:space="preserve"> on March 16, 2007.  </w:t>
      </w:r>
      <w:r w:rsidR="003D39AE">
        <w:rPr>
          <w:sz w:val="24"/>
        </w:rPr>
        <w:t>T</w:t>
      </w:r>
      <w:r>
        <w:rPr>
          <w:sz w:val="24"/>
        </w:rPr>
        <w:t xml:space="preserve">he Commission </w:t>
      </w:r>
      <w:r w:rsidR="00A03A7B">
        <w:rPr>
          <w:sz w:val="24"/>
        </w:rPr>
        <w:t xml:space="preserve">expressed concerns with the </w:t>
      </w:r>
      <w:r w:rsidR="00CD7792">
        <w:rPr>
          <w:sz w:val="24"/>
        </w:rPr>
        <w:t>S</w:t>
      </w:r>
      <w:r w:rsidR="008E534A">
        <w:rPr>
          <w:sz w:val="24"/>
        </w:rPr>
        <w:t xml:space="preserve">tandard’s </w:t>
      </w:r>
      <w:r w:rsidR="00A03A7B">
        <w:rPr>
          <w:sz w:val="24"/>
        </w:rPr>
        <w:t>lack of levels of non-compliance and a regional varian</w:t>
      </w:r>
      <w:r w:rsidR="00297A2F">
        <w:rPr>
          <w:sz w:val="24"/>
        </w:rPr>
        <w:t>ce exe</w:t>
      </w:r>
      <w:r w:rsidR="00A03A7B">
        <w:rPr>
          <w:sz w:val="24"/>
        </w:rPr>
        <w:t xml:space="preserve">mpting </w:t>
      </w:r>
      <w:r w:rsidR="009B76AA">
        <w:rPr>
          <w:sz w:val="24"/>
        </w:rPr>
        <w:t xml:space="preserve">the </w:t>
      </w:r>
      <w:r w:rsidR="009B76AA" w:rsidRPr="009B76AA">
        <w:rPr>
          <w:sz w:val="24"/>
        </w:rPr>
        <w:t>Western Electricity Coordinating Council (</w:t>
      </w:r>
      <w:r w:rsidR="00A03A7B">
        <w:rPr>
          <w:sz w:val="24"/>
        </w:rPr>
        <w:t>WECC</w:t>
      </w:r>
      <w:r w:rsidR="009B76AA">
        <w:rPr>
          <w:sz w:val="24"/>
        </w:rPr>
        <w:t>)</w:t>
      </w:r>
      <w:r w:rsidR="00A03A7B">
        <w:rPr>
          <w:sz w:val="24"/>
        </w:rPr>
        <w:t xml:space="preserve"> from tagging dynamic schedules and inadvertent payback</w:t>
      </w:r>
      <w:r w:rsidR="00453F05">
        <w:rPr>
          <w:sz w:val="24"/>
        </w:rPr>
        <w:t>.</w:t>
      </w:r>
      <w:r w:rsidR="00233990" w:rsidRPr="009B76AA">
        <w:rPr>
          <w:vertAlign w:val="superscript"/>
        </w:rPr>
        <w:footnoteReference w:id="5"/>
      </w:r>
      <w:r w:rsidR="00A03A7B">
        <w:rPr>
          <w:sz w:val="24"/>
        </w:rPr>
        <w:t xml:space="preserve"> </w:t>
      </w:r>
      <w:r w:rsidR="008E5EDD">
        <w:rPr>
          <w:sz w:val="24"/>
        </w:rPr>
        <w:t xml:space="preserve">FERC directed NERC </w:t>
      </w:r>
      <w:r w:rsidR="00A03A7B">
        <w:rPr>
          <w:sz w:val="24"/>
        </w:rPr>
        <w:t xml:space="preserve">to modify INT-004-1 to include levels of non-compliance </w:t>
      </w:r>
      <w:r w:rsidR="008E5EDD">
        <w:rPr>
          <w:sz w:val="24"/>
        </w:rPr>
        <w:t xml:space="preserve">and to </w:t>
      </w:r>
      <w:r w:rsidR="00A03A7B">
        <w:rPr>
          <w:sz w:val="24"/>
        </w:rPr>
        <w:t xml:space="preserve">make a compliance filing to either provide additional information on the WECC regional </w:t>
      </w:r>
      <w:r w:rsidR="008E5EDD">
        <w:rPr>
          <w:sz w:val="24"/>
        </w:rPr>
        <w:t xml:space="preserve">variance </w:t>
      </w:r>
      <w:r w:rsidR="00A03A7B">
        <w:rPr>
          <w:sz w:val="24"/>
        </w:rPr>
        <w:t xml:space="preserve">or withdraw the </w:t>
      </w:r>
      <w:r w:rsidR="008E5EDD">
        <w:rPr>
          <w:sz w:val="24"/>
        </w:rPr>
        <w:t>variance</w:t>
      </w:r>
      <w:r w:rsidR="00A03A7B">
        <w:rPr>
          <w:sz w:val="24"/>
        </w:rPr>
        <w:t xml:space="preserve">.  </w:t>
      </w:r>
    </w:p>
    <w:p w14:paraId="4A0E1D9B" w14:textId="77777777" w:rsidR="00CD7792" w:rsidRDefault="009E3440" w:rsidP="00220AF2">
      <w:pPr>
        <w:pStyle w:val="FERCparanumber"/>
        <w:tabs>
          <w:tab w:val="clear" w:pos="720"/>
        </w:tabs>
        <w:rPr>
          <w:sz w:val="24"/>
        </w:rPr>
      </w:pPr>
      <w:r>
        <w:rPr>
          <w:sz w:val="24"/>
        </w:rPr>
        <w:t xml:space="preserve">In </w:t>
      </w:r>
      <w:hyperlink r:id="rId16" w:history="1">
        <w:r w:rsidRPr="00297A2F">
          <w:rPr>
            <w:rStyle w:val="Hyperlink"/>
            <w:sz w:val="24"/>
          </w:rPr>
          <w:t>Order No.</w:t>
        </w:r>
        <w:r w:rsidR="00C201D8" w:rsidRPr="00297A2F">
          <w:rPr>
            <w:rStyle w:val="Hyperlink"/>
            <w:sz w:val="24"/>
          </w:rPr>
          <w:t>713</w:t>
        </w:r>
      </w:hyperlink>
      <w:r>
        <w:rPr>
          <w:sz w:val="24"/>
        </w:rPr>
        <w:t xml:space="preserve">, the Commission accepted NERC’s proposal to eliminate the </w:t>
      </w:r>
      <w:r w:rsidR="00A03A7B">
        <w:rPr>
          <w:sz w:val="24"/>
        </w:rPr>
        <w:t xml:space="preserve">WECC regional </w:t>
      </w:r>
      <w:r w:rsidR="008E5EDD">
        <w:rPr>
          <w:sz w:val="24"/>
        </w:rPr>
        <w:t xml:space="preserve">variance </w:t>
      </w:r>
      <w:r>
        <w:rPr>
          <w:sz w:val="24"/>
        </w:rPr>
        <w:t>regarding</w:t>
      </w:r>
      <w:r w:rsidR="002944D6">
        <w:rPr>
          <w:sz w:val="24"/>
        </w:rPr>
        <w:t xml:space="preserve"> INT-004-2</w:t>
      </w:r>
      <w:r w:rsidR="00C201D8">
        <w:rPr>
          <w:sz w:val="24"/>
        </w:rPr>
        <w:t>.</w:t>
      </w:r>
      <w:r w:rsidR="00233990">
        <w:rPr>
          <w:rStyle w:val="FootnoteReference"/>
          <w:sz w:val="24"/>
        </w:rPr>
        <w:footnoteReference w:id="6"/>
      </w:r>
      <w:r w:rsidR="00C201D8">
        <w:rPr>
          <w:sz w:val="24"/>
        </w:rPr>
        <w:t xml:space="preserve"> </w:t>
      </w:r>
      <w:r w:rsidR="002944D6">
        <w:rPr>
          <w:sz w:val="24"/>
        </w:rPr>
        <w:t xml:space="preserve">  </w:t>
      </w:r>
    </w:p>
    <w:p w14:paraId="7B195604" w14:textId="1A92AE4F" w:rsidR="00412701" w:rsidRDefault="002944D6" w:rsidP="00220AF2">
      <w:pPr>
        <w:pStyle w:val="FERCparanumber"/>
        <w:tabs>
          <w:tab w:val="clear" w:pos="720"/>
        </w:tabs>
        <w:rPr>
          <w:sz w:val="24"/>
        </w:rPr>
      </w:pPr>
      <w:r>
        <w:rPr>
          <w:sz w:val="24"/>
        </w:rPr>
        <w:t xml:space="preserve">INT-004-3 addresses the </w:t>
      </w:r>
      <w:r w:rsidR="009E3440">
        <w:rPr>
          <w:sz w:val="24"/>
        </w:rPr>
        <w:t xml:space="preserve">Commission’s </w:t>
      </w:r>
      <w:r>
        <w:rPr>
          <w:sz w:val="24"/>
        </w:rPr>
        <w:t xml:space="preserve">directive </w:t>
      </w:r>
      <w:r w:rsidR="009E3440">
        <w:rPr>
          <w:sz w:val="24"/>
        </w:rPr>
        <w:t xml:space="preserve">in Order No. 693 </w:t>
      </w:r>
      <w:r>
        <w:rPr>
          <w:sz w:val="24"/>
        </w:rPr>
        <w:t>to add levels of non-compliance.</w:t>
      </w:r>
    </w:p>
    <w:p w14:paraId="04CAFE03" w14:textId="17603588" w:rsidR="00F32271" w:rsidRPr="008E5EDD" w:rsidRDefault="008E5EDD" w:rsidP="00220AF2">
      <w:pPr>
        <w:pStyle w:val="FERCparanumber"/>
        <w:tabs>
          <w:tab w:val="clear" w:pos="720"/>
        </w:tabs>
        <w:rPr>
          <w:b/>
          <w:sz w:val="24"/>
        </w:rPr>
      </w:pPr>
      <w:r w:rsidRPr="008E5EDD">
        <w:rPr>
          <w:b/>
          <w:sz w:val="24"/>
        </w:rPr>
        <w:t>FERC Orders</w:t>
      </w:r>
    </w:p>
    <w:p w14:paraId="030B955C" w14:textId="77777777" w:rsidR="006E0921" w:rsidRDefault="006E0921" w:rsidP="00220AF2">
      <w:pPr>
        <w:pStyle w:val="FERCparanumber"/>
        <w:tabs>
          <w:tab w:val="clear" w:pos="720"/>
        </w:tabs>
        <w:rPr>
          <w:b/>
          <w:sz w:val="24"/>
        </w:rPr>
      </w:pPr>
      <w:r>
        <w:rPr>
          <w:b/>
          <w:sz w:val="24"/>
        </w:rPr>
        <w:t>Letter Order</w:t>
      </w:r>
    </w:p>
    <w:p w14:paraId="592EED74" w14:textId="6E6D9EDF" w:rsidR="00220AF2" w:rsidRPr="00E76EE9" w:rsidRDefault="00220AF2" w:rsidP="00220AF2">
      <w:pPr>
        <w:pStyle w:val="FERCparanumber"/>
        <w:tabs>
          <w:tab w:val="clear" w:pos="720"/>
        </w:tabs>
        <w:rPr>
          <w:sz w:val="24"/>
        </w:rPr>
      </w:pPr>
      <w:r w:rsidRPr="00E76EE9">
        <w:rPr>
          <w:b/>
          <w:sz w:val="24"/>
        </w:rPr>
        <w:t>North American Electric Reliability Corp.., Docket No. RD14-4-000 (June 30, 2014</w:t>
      </w:r>
      <w:r w:rsidR="00297A2F" w:rsidRPr="00E76EE9">
        <w:rPr>
          <w:b/>
          <w:sz w:val="24"/>
        </w:rPr>
        <w:t>) (</w:t>
      </w:r>
      <w:r w:rsidRPr="00E76EE9">
        <w:rPr>
          <w:b/>
          <w:sz w:val="24"/>
        </w:rPr>
        <w:t>letter order).</w:t>
      </w:r>
      <w:r w:rsidRPr="00E76EE9">
        <w:rPr>
          <w:sz w:val="24"/>
        </w:rPr>
        <w:t xml:space="preserve">  Order approving proposed Reliability Standards for Interchange Scheduling and Coordination.</w:t>
      </w:r>
    </w:p>
    <w:p w14:paraId="268FA333" w14:textId="77777777" w:rsidR="00E76EE9" w:rsidRPr="00E76EE9" w:rsidRDefault="006A30C0" w:rsidP="00E76EE9">
      <w:pPr>
        <w:pStyle w:val="PlainText"/>
        <w:rPr>
          <w:rFonts w:asciiTheme="minorHAnsi" w:hAnsiTheme="minorHAnsi"/>
          <w:sz w:val="24"/>
          <w:szCs w:val="24"/>
        </w:rPr>
      </w:pPr>
      <w:hyperlink r:id="rId17" w:history="1">
        <w:r w:rsidR="00E76EE9" w:rsidRPr="00E76EE9">
          <w:rPr>
            <w:rStyle w:val="Hyperlink"/>
            <w:rFonts w:asciiTheme="minorHAnsi" w:hAnsiTheme="minorHAnsi"/>
            <w:sz w:val="24"/>
            <w:szCs w:val="24"/>
          </w:rPr>
          <w:t>http://www.nerc.com/FilingsOrders/us/FERCOrdersRules/INT%20Letter%20Order.pdf</w:t>
        </w:r>
      </w:hyperlink>
    </w:p>
    <w:p w14:paraId="6F74B2AB" w14:textId="77777777" w:rsidR="00E76EE9" w:rsidRPr="00E76EE9" w:rsidRDefault="00E76EE9" w:rsidP="00220AF2">
      <w:pPr>
        <w:pStyle w:val="FERCparanumber"/>
        <w:tabs>
          <w:tab w:val="clear" w:pos="720"/>
        </w:tabs>
        <w:ind w:left="900" w:hanging="900"/>
        <w:rPr>
          <w:sz w:val="24"/>
        </w:rPr>
      </w:pPr>
    </w:p>
    <w:p w14:paraId="11CD3AB7" w14:textId="7AB72BE5" w:rsidR="00E76EE9" w:rsidRDefault="00220AF2" w:rsidP="00220AF2">
      <w:pPr>
        <w:pStyle w:val="FERCparanumber"/>
        <w:tabs>
          <w:tab w:val="clear" w:pos="720"/>
        </w:tabs>
        <w:ind w:left="900" w:hanging="900"/>
        <w:rPr>
          <w:sz w:val="24"/>
        </w:rPr>
      </w:pPr>
      <w:r w:rsidRPr="00E76EE9">
        <w:rPr>
          <w:sz w:val="24"/>
        </w:rPr>
        <w:lastRenderedPageBreak/>
        <w:t>Page 2.</w:t>
      </w:r>
      <w:r w:rsidRPr="00E76EE9">
        <w:rPr>
          <w:sz w:val="24"/>
        </w:rPr>
        <w:tab/>
      </w:r>
      <w:r w:rsidR="00CD7792">
        <w:rPr>
          <w:sz w:val="24"/>
        </w:rPr>
        <w:t>FERC</w:t>
      </w:r>
      <w:r w:rsidR="00E76EE9" w:rsidRPr="00E76EE9">
        <w:rPr>
          <w:sz w:val="24"/>
        </w:rPr>
        <w:t xml:space="preserve"> approved “</w:t>
      </w:r>
      <w:r w:rsidRPr="00E76EE9">
        <w:rPr>
          <w:sz w:val="24"/>
        </w:rPr>
        <w:t xml:space="preserve">Reliability Standard INT-004-3 </w:t>
      </w:r>
      <w:r w:rsidR="000F0F87">
        <w:rPr>
          <w:sz w:val="24"/>
        </w:rPr>
        <w:t xml:space="preserve">[which] </w:t>
      </w:r>
      <w:r w:rsidRPr="00E76EE9">
        <w:rPr>
          <w:sz w:val="24"/>
        </w:rPr>
        <w:t xml:space="preserve">requires that dynamic schedules and pseudo-ties are communicated and accounted for </w:t>
      </w:r>
      <w:r w:rsidR="00E76EE9" w:rsidRPr="00E76EE9">
        <w:rPr>
          <w:sz w:val="24"/>
        </w:rPr>
        <w:t>in congestion management procedures.”</w:t>
      </w:r>
      <w:r w:rsidR="00A9098F">
        <w:rPr>
          <w:sz w:val="24"/>
        </w:rPr>
        <w:t xml:space="preserve">  NERC explained in its filing that Requirement 3 of INT-004-3 has a separate implementation plan and “will become effective on the first calendar day two </w:t>
      </w:r>
      <w:r w:rsidR="00A444E0">
        <w:rPr>
          <w:sz w:val="24"/>
        </w:rPr>
        <w:t>calendar quar</w:t>
      </w:r>
      <w:r w:rsidR="00A9098F">
        <w:rPr>
          <w:sz w:val="24"/>
        </w:rPr>
        <w:t>ters after the NAESB Electric Industry Registry is able to accept Pseudo-Tie registrations.”  All existing and future Pseudo-Ties are to be registered in the NAESB Electric Industry Registry per Requirement 3</w:t>
      </w:r>
      <w:r w:rsidR="00A444E0">
        <w:rPr>
          <w:sz w:val="24"/>
        </w:rPr>
        <w:t>.</w:t>
      </w:r>
    </w:p>
    <w:p w14:paraId="5035A8AE" w14:textId="5C53C850" w:rsidR="00220AF2" w:rsidRDefault="00297A2F" w:rsidP="00220AF2">
      <w:pPr>
        <w:pStyle w:val="FERCparanumber"/>
        <w:tabs>
          <w:tab w:val="clear" w:pos="720"/>
        </w:tabs>
        <w:rPr>
          <w:b/>
          <w:sz w:val="24"/>
        </w:rPr>
      </w:pPr>
      <w:r>
        <w:rPr>
          <w:b/>
          <w:sz w:val="24"/>
        </w:rPr>
        <w:t>Order No. 713</w:t>
      </w:r>
      <w:r w:rsidR="00D5378E">
        <w:rPr>
          <w:b/>
          <w:sz w:val="24"/>
        </w:rPr>
        <w:t>.</w:t>
      </w:r>
    </w:p>
    <w:p w14:paraId="21C7E391" w14:textId="1743A617" w:rsidR="007C2AB0" w:rsidRDefault="006A30C0" w:rsidP="00B90707">
      <w:pPr>
        <w:pStyle w:val="FERCparanumber"/>
        <w:tabs>
          <w:tab w:val="clear" w:pos="720"/>
          <w:tab w:val="left" w:pos="900"/>
        </w:tabs>
        <w:ind w:left="990" w:hanging="990"/>
        <w:rPr>
          <w:sz w:val="24"/>
        </w:rPr>
      </w:pPr>
      <w:hyperlink r:id="rId18" w:history="1">
        <w:r w:rsidR="007C2AB0" w:rsidRPr="00597F8A">
          <w:rPr>
            <w:rStyle w:val="Hyperlink"/>
            <w:sz w:val="24"/>
          </w:rPr>
          <w:t>http://www.nerc.com/FilingsOrders/us/FERCOrdersRules/Order_713_Modified-INT_and_TLR-Stds-07212008.pdf</w:t>
        </w:r>
      </w:hyperlink>
    </w:p>
    <w:p w14:paraId="1EB81090" w14:textId="147B7AEB" w:rsidR="000F41CE" w:rsidRPr="000F41CE" w:rsidRDefault="00B90707" w:rsidP="00B90707">
      <w:pPr>
        <w:pStyle w:val="FERCparanumber"/>
        <w:tabs>
          <w:tab w:val="clear" w:pos="720"/>
          <w:tab w:val="left" w:pos="900"/>
        </w:tabs>
        <w:ind w:left="990" w:hanging="990"/>
        <w:rPr>
          <w:sz w:val="24"/>
        </w:rPr>
      </w:pPr>
      <w:r>
        <w:rPr>
          <w:sz w:val="24"/>
        </w:rPr>
        <w:t>P</w:t>
      </w:r>
      <w:r w:rsidR="006504E1">
        <w:rPr>
          <w:sz w:val="24"/>
        </w:rPr>
        <w:t xml:space="preserve"> </w:t>
      </w:r>
      <w:r>
        <w:rPr>
          <w:sz w:val="24"/>
        </w:rPr>
        <w:t>54</w:t>
      </w:r>
      <w:r>
        <w:rPr>
          <w:sz w:val="24"/>
        </w:rPr>
        <w:tab/>
      </w:r>
      <w:r>
        <w:rPr>
          <w:sz w:val="24"/>
        </w:rPr>
        <w:tab/>
      </w:r>
      <w:r>
        <w:rPr>
          <w:sz w:val="24"/>
        </w:rPr>
        <w:tab/>
      </w:r>
      <w:r>
        <w:rPr>
          <w:sz w:val="24"/>
        </w:rPr>
        <w:tab/>
      </w:r>
      <w:r>
        <w:rPr>
          <w:sz w:val="24"/>
        </w:rPr>
        <w:tab/>
      </w:r>
      <w:r>
        <w:rPr>
          <w:sz w:val="24"/>
        </w:rPr>
        <w:tab/>
        <w:t>In the order approving I</w:t>
      </w:r>
      <w:r w:rsidR="009467B4">
        <w:rPr>
          <w:sz w:val="24"/>
        </w:rPr>
        <w:t>NT</w:t>
      </w:r>
      <w:r>
        <w:rPr>
          <w:sz w:val="24"/>
        </w:rPr>
        <w:t xml:space="preserve">-004-2, </w:t>
      </w:r>
      <w:r w:rsidR="00CD7792">
        <w:rPr>
          <w:sz w:val="24"/>
        </w:rPr>
        <w:t>FERC</w:t>
      </w:r>
      <w:r w:rsidR="009467B4">
        <w:rPr>
          <w:sz w:val="24"/>
        </w:rPr>
        <w:t xml:space="preserve"> </w:t>
      </w:r>
      <w:r>
        <w:rPr>
          <w:sz w:val="24"/>
        </w:rPr>
        <w:t>agreed with NERC that “by rescinding th</w:t>
      </w:r>
      <w:r w:rsidR="009467B4">
        <w:rPr>
          <w:sz w:val="24"/>
        </w:rPr>
        <w:t>e e-tagging waivers</w:t>
      </w:r>
      <w:r w:rsidR="00297A2F">
        <w:rPr>
          <w:sz w:val="24"/>
        </w:rPr>
        <w:t>, NERC</w:t>
      </w:r>
      <w:r>
        <w:rPr>
          <w:sz w:val="24"/>
        </w:rPr>
        <w:t xml:space="preserve"> maintains</w:t>
      </w:r>
      <w:r>
        <w:rPr>
          <w:sz w:val="24"/>
        </w:rPr>
        <w:tab/>
        <w:t xml:space="preserve"> uniformity and makes no structural changes to the requirements in the current Commission-approved version of the Reliability Standard[s].”</w:t>
      </w:r>
    </w:p>
    <w:p w14:paraId="12C426DD" w14:textId="56BE446C" w:rsidR="00233990" w:rsidRPr="00233990" w:rsidRDefault="00297A2F" w:rsidP="000F41CE">
      <w:pPr>
        <w:pStyle w:val="FERCparanumber"/>
        <w:rPr>
          <w:rFonts w:cs="Calibri"/>
          <w:b/>
          <w:sz w:val="24"/>
        </w:rPr>
      </w:pPr>
      <w:r>
        <w:rPr>
          <w:rFonts w:cs="Calibri"/>
          <w:b/>
          <w:sz w:val="24"/>
        </w:rPr>
        <w:t>Order No. 693</w:t>
      </w:r>
      <w:r w:rsidR="00233990" w:rsidRPr="00233990">
        <w:rPr>
          <w:rFonts w:cs="Calibri"/>
          <w:b/>
          <w:sz w:val="24"/>
        </w:rPr>
        <w:t>.</w:t>
      </w:r>
    </w:p>
    <w:p w14:paraId="79AB2DDC" w14:textId="0A13B425" w:rsidR="008C35CB" w:rsidRPr="00671167" w:rsidRDefault="006A30C0" w:rsidP="000F41CE">
      <w:pPr>
        <w:pStyle w:val="FERCparanumber"/>
        <w:rPr>
          <w:sz w:val="24"/>
        </w:rPr>
      </w:pPr>
      <w:hyperlink r:id="rId19" w:history="1">
        <w:r w:rsidR="008C35CB" w:rsidRPr="00671167">
          <w:rPr>
            <w:rStyle w:val="Hyperlink"/>
            <w:sz w:val="24"/>
          </w:rPr>
          <w:t>http://www.nerc.com/FilingsOrders/us/FERCOrdersRules/ORDER%20693.pdf</w:t>
        </w:r>
      </w:hyperlink>
    </w:p>
    <w:p w14:paraId="0121430E" w14:textId="6A212453" w:rsidR="00FC3409" w:rsidRDefault="00FC3409" w:rsidP="00AE30C2">
      <w:pPr>
        <w:ind w:left="1080" w:hanging="1080"/>
        <w:rPr>
          <w:rFonts w:asciiTheme="minorHAnsi" w:hAnsiTheme="minorHAnsi" w:cs="Times New Roman"/>
        </w:rPr>
      </w:pPr>
      <w:r w:rsidRPr="009467B4">
        <w:rPr>
          <w:rFonts w:asciiTheme="minorHAnsi" w:hAnsiTheme="minorHAnsi"/>
          <w:color w:val="auto"/>
        </w:rPr>
        <w:t>P</w:t>
      </w:r>
      <w:r w:rsidR="006504E1">
        <w:rPr>
          <w:rFonts w:asciiTheme="minorHAnsi" w:hAnsiTheme="minorHAnsi"/>
          <w:color w:val="auto"/>
        </w:rPr>
        <w:t xml:space="preserve"> </w:t>
      </w:r>
      <w:r w:rsidRPr="009467B4">
        <w:rPr>
          <w:rFonts w:asciiTheme="minorHAnsi" w:hAnsiTheme="minorHAnsi"/>
          <w:color w:val="auto"/>
        </w:rPr>
        <w:t>795</w:t>
      </w:r>
      <w:r w:rsidR="00AE30C2" w:rsidRPr="00AE30C2">
        <w:rPr>
          <w:rFonts w:asciiTheme="minorHAnsi" w:hAnsiTheme="minorHAnsi"/>
          <w:color w:val="auto"/>
          <w14:shadow w14:blurRad="50800" w14:dist="38100" w14:dir="2700000" w14:sx="100000" w14:sy="100000" w14:kx="0" w14:ky="0" w14:algn="tl">
            <w14:srgbClr w14:val="000000">
              <w14:alpha w14:val="60000"/>
            </w14:srgbClr>
          </w14:shadow>
        </w:rPr>
        <w:tab/>
      </w:r>
      <w:r w:rsidR="00AE30C2" w:rsidRPr="009467B4">
        <w:rPr>
          <w:rFonts w:asciiTheme="minorHAnsi" w:hAnsiTheme="minorHAnsi"/>
          <w:color w:val="auto"/>
        </w:rPr>
        <w:tab/>
      </w:r>
      <w:r w:rsidR="00AE30C2" w:rsidRPr="009467B4">
        <w:rPr>
          <w:rFonts w:asciiTheme="minorHAnsi" w:hAnsiTheme="minorHAnsi"/>
          <w:color w:val="auto"/>
        </w:rPr>
        <w:tab/>
      </w:r>
      <w:r w:rsidR="00AE30C2" w:rsidRPr="009467B4">
        <w:rPr>
          <w:rFonts w:asciiTheme="minorHAnsi" w:hAnsiTheme="minorHAnsi"/>
          <w:color w:val="auto"/>
        </w:rPr>
        <w:tab/>
      </w:r>
      <w:r w:rsidR="00CD7792">
        <w:rPr>
          <w:rFonts w:asciiTheme="minorHAnsi" w:hAnsiTheme="minorHAnsi"/>
          <w:color w:val="auto"/>
        </w:rPr>
        <w:t>FERC</w:t>
      </w:r>
      <w:r w:rsidR="009467B4" w:rsidRPr="009467B4">
        <w:rPr>
          <w:rFonts w:asciiTheme="minorHAnsi" w:hAnsiTheme="minorHAnsi"/>
          <w:color w:val="auto"/>
        </w:rPr>
        <w:t xml:space="preserve"> </w:t>
      </w:r>
      <w:r w:rsidR="008E534A" w:rsidRPr="009467B4">
        <w:rPr>
          <w:rFonts w:asciiTheme="minorHAnsi" w:hAnsiTheme="minorHAnsi"/>
          <w:color w:val="auto"/>
        </w:rPr>
        <w:t>state</w:t>
      </w:r>
      <w:r w:rsidR="008E534A">
        <w:rPr>
          <w:rFonts w:asciiTheme="minorHAnsi" w:hAnsiTheme="minorHAnsi"/>
          <w:color w:val="auto"/>
        </w:rPr>
        <w:t>d</w:t>
      </w:r>
      <w:r w:rsidR="008E534A" w:rsidRPr="009467B4">
        <w:rPr>
          <w:rFonts w:asciiTheme="minorHAnsi" w:hAnsiTheme="minorHAnsi"/>
          <w:color w:val="auto"/>
        </w:rPr>
        <w:t xml:space="preserve"> </w:t>
      </w:r>
      <w:r w:rsidR="00AE30C2" w:rsidRPr="009467B4">
        <w:rPr>
          <w:rFonts w:asciiTheme="minorHAnsi" w:hAnsiTheme="minorHAnsi"/>
          <w:color w:val="auto"/>
        </w:rPr>
        <w:t xml:space="preserve">that </w:t>
      </w:r>
      <w:r w:rsidR="00AE30C2" w:rsidRPr="00AE30C2">
        <w:rPr>
          <w:rFonts w:asciiTheme="minorHAnsi" w:hAnsiTheme="minorHAnsi"/>
          <w:color w:val="auto"/>
          <w14:shadow w14:blurRad="50800" w14:dist="38100" w14:dir="2700000" w14:sx="100000" w14:sy="100000" w14:kx="0" w14:ky="0" w14:algn="tl">
            <w14:srgbClr w14:val="000000">
              <w14:alpha w14:val="60000"/>
            </w14:srgbClr>
          </w14:shadow>
        </w:rPr>
        <w:t>“</w:t>
      </w:r>
      <w:r w:rsidR="00AE30C2" w:rsidRPr="00AE30C2">
        <w:rPr>
          <w:rFonts w:asciiTheme="minorHAnsi" w:hAnsiTheme="minorHAnsi" w:cs="Times New Roman"/>
        </w:rPr>
        <w:t>The Interchange Scheduling and Coordination (INT) group of Reliability</w:t>
      </w:r>
      <w:r w:rsidR="00AE30C2">
        <w:rPr>
          <w:rFonts w:asciiTheme="minorHAnsi" w:hAnsiTheme="minorHAnsi" w:cs="Times New Roman"/>
        </w:rPr>
        <w:t xml:space="preserve"> </w:t>
      </w:r>
      <w:r w:rsidR="00AE30C2" w:rsidRPr="00AE30C2">
        <w:rPr>
          <w:rFonts w:asciiTheme="minorHAnsi" w:hAnsiTheme="minorHAnsi" w:cs="Times New Roman"/>
        </w:rPr>
        <w:t>Standards addresses interchange transactions,</w:t>
      </w:r>
      <w:r w:rsidR="00AE30C2" w:rsidRPr="00AE30C2">
        <w:rPr>
          <w:rFonts w:asciiTheme="minorHAnsi" w:hAnsiTheme="minorHAnsi" w:cs="Times New Roman"/>
          <w:b/>
          <w:bCs/>
        </w:rPr>
        <w:t xml:space="preserve"> </w:t>
      </w:r>
      <w:r w:rsidR="00AE30C2" w:rsidRPr="00AE30C2">
        <w:rPr>
          <w:rFonts w:asciiTheme="minorHAnsi" w:hAnsiTheme="minorHAnsi" w:cs="Times New Roman"/>
        </w:rPr>
        <w:t>which occur when electricity is transmitted from a seller to a buyer across the power grid. Specific information regarding</w:t>
      </w:r>
      <w:r w:rsidR="00AE30C2" w:rsidRPr="00AE30C2">
        <w:rPr>
          <w:rFonts w:asciiTheme="minorHAnsi" w:hAnsiTheme="minorHAnsi"/>
        </w:rPr>
        <w:t xml:space="preserve"> </w:t>
      </w:r>
      <w:r w:rsidR="00AE30C2" w:rsidRPr="00AE30C2">
        <w:rPr>
          <w:rFonts w:asciiTheme="minorHAnsi" w:hAnsiTheme="minorHAnsi" w:cs="Times New Roman"/>
        </w:rPr>
        <w:t>each transaction must be identified in an accompanying electronic label, known as a “Tag” or “e-Tag” which is used by affected reliability coordinators, transmission service providers and balancing authorities to assess the transaction for reliability impacts. Communication, submission, assessment and approval of a Tag must be completed for reliability consideration before implementation of the transaction.”</w:t>
      </w:r>
    </w:p>
    <w:p w14:paraId="32B10150" w14:textId="77777777" w:rsidR="00AE30C2" w:rsidRDefault="00AE30C2" w:rsidP="00AE30C2">
      <w:pPr>
        <w:ind w:left="1080" w:hanging="1080"/>
        <w:rPr>
          <w:rFonts w:asciiTheme="minorHAnsi" w:hAnsiTheme="minorHAnsi"/>
          <w:color w:val="auto"/>
          <w14:shadow w14:blurRad="50800" w14:dist="38100" w14:dir="2700000" w14:sx="100000" w14:sy="100000" w14:kx="0" w14:ky="0" w14:algn="tl">
            <w14:srgbClr w14:val="000000">
              <w14:alpha w14:val="60000"/>
            </w14:srgbClr>
          </w14:shadow>
        </w:rPr>
      </w:pPr>
    </w:p>
    <w:p w14:paraId="4B8C297C" w14:textId="5BCD32C2" w:rsidR="00AE30C2" w:rsidRPr="00AE30C2" w:rsidRDefault="00AE30C2" w:rsidP="00AE30C2">
      <w:pPr>
        <w:ind w:left="1080" w:hanging="1080"/>
        <w:rPr>
          <w:rFonts w:asciiTheme="minorHAnsi" w:hAnsiTheme="minorHAnsi"/>
          <w:color w:val="auto"/>
          <w14:shadow w14:blurRad="50800" w14:dist="38100" w14:dir="2700000" w14:sx="100000" w14:sy="100000" w14:kx="0" w14:ky="0" w14:algn="tl">
            <w14:srgbClr w14:val="000000">
              <w14:alpha w14:val="60000"/>
            </w14:srgbClr>
          </w14:shadow>
        </w:rPr>
      </w:pPr>
      <w:r w:rsidRPr="009467B4">
        <w:rPr>
          <w:rFonts w:asciiTheme="minorHAnsi" w:hAnsiTheme="minorHAnsi"/>
          <w:color w:val="auto"/>
        </w:rPr>
        <w:t>P</w:t>
      </w:r>
      <w:r w:rsidR="006504E1">
        <w:rPr>
          <w:rFonts w:asciiTheme="minorHAnsi" w:hAnsiTheme="minorHAnsi"/>
          <w:color w:val="auto"/>
        </w:rPr>
        <w:t xml:space="preserve"> </w:t>
      </w:r>
      <w:r w:rsidRPr="009467B4">
        <w:rPr>
          <w:rFonts w:asciiTheme="minorHAnsi" w:hAnsiTheme="minorHAnsi"/>
          <w:color w:val="auto"/>
        </w:rPr>
        <w:t>843</w:t>
      </w:r>
      <w:r>
        <w:rPr>
          <w:rFonts w:asciiTheme="minorHAnsi" w:hAnsiTheme="minorHAnsi"/>
          <w:color w:val="auto"/>
          <w14:shadow w14:blurRad="50800" w14:dist="38100" w14:dir="2700000" w14:sx="100000" w14:sy="100000" w14:kx="0" w14:ky="0" w14:algn="tl">
            <w14:srgbClr w14:val="000000">
              <w14:alpha w14:val="60000"/>
            </w14:srgbClr>
          </w14:shadow>
        </w:rPr>
        <w:tab/>
      </w:r>
      <w:r w:rsidR="00ED16E6">
        <w:rPr>
          <w:rFonts w:asciiTheme="minorHAnsi" w:hAnsiTheme="minorHAnsi"/>
          <w:color w:val="auto"/>
        </w:rPr>
        <w:t>In approving INT</w:t>
      </w:r>
      <w:r w:rsidR="00014BCF" w:rsidRPr="009467B4">
        <w:rPr>
          <w:rFonts w:asciiTheme="minorHAnsi" w:hAnsiTheme="minorHAnsi"/>
          <w:color w:val="auto"/>
        </w:rPr>
        <w:t xml:space="preserve">-004-1, </w:t>
      </w:r>
      <w:r w:rsidR="00CD7792">
        <w:rPr>
          <w:rFonts w:asciiTheme="minorHAnsi" w:hAnsiTheme="minorHAnsi"/>
          <w:color w:val="auto"/>
        </w:rPr>
        <w:t>FERC</w:t>
      </w:r>
      <w:r w:rsidR="00D5378E" w:rsidRPr="009467B4">
        <w:rPr>
          <w:rFonts w:asciiTheme="minorHAnsi" w:hAnsiTheme="minorHAnsi"/>
          <w:color w:val="auto"/>
        </w:rPr>
        <w:t xml:space="preserve"> found</w:t>
      </w:r>
      <w:r w:rsidR="00014BCF" w:rsidRPr="009467B4">
        <w:rPr>
          <w:rFonts w:asciiTheme="minorHAnsi" w:hAnsiTheme="minorHAnsi"/>
          <w:color w:val="auto"/>
        </w:rPr>
        <w:t xml:space="preserve"> that “</w:t>
      </w:r>
      <w:r w:rsidR="008E7C88" w:rsidRPr="009467B4">
        <w:rPr>
          <w:rFonts w:asciiTheme="minorHAnsi" w:hAnsiTheme="minorHAnsi"/>
          <w:color w:val="auto"/>
        </w:rPr>
        <w:t>…</w:t>
      </w:r>
      <w:r w:rsidR="00014BCF" w:rsidRPr="009467B4">
        <w:rPr>
          <w:rFonts w:asciiTheme="minorHAnsi" w:hAnsiTheme="minorHAnsi"/>
          <w:color w:val="auto"/>
        </w:rPr>
        <w:t xml:space="preserve"> this proposed Reliability Standard serves an important purpose by setting thresholds on changes in dynamic schedules for which modified interchange data must be submitted.”</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EE246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EE246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EE246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EE246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EE2461">
            <w:pPr>
              <w:jc w:val="center"/>
              <w:rPr>
                <w:rFonts w:ascii="Calibri" w:hAnsi="Calibri" w:cs="Times New Roman"/>
                <w:b/>
              </w:rPr>
            </w:pPr>
            <w:r w:rsidRPr="009B28B0">
              <w:rPr>
                <w:rFonts w:ascii="Calibri" w:hAnsi="Calibri" w:cs="Times New Roman"/>
                <w:b/>
              </w:rPr>
              <w:t>Revision Description</w:t>
            </w:r>
          </w:p>
        </w:tc>
      </w:tr>
      <w:tr w:rsidR="00352F6F" w:rsidRPr="009B28B0" w14:paraId="6239E1A3" w14:textId="77777777" w:rsidTr="00EE2461">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22CDC475" w:rsidR="00352F6F" w:rsidRPr="009B28B0" w:rsidRDefault="00352F6F" w:rsidP="00352F6F">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BF35930" w:rsidR="00352F6F" w:rsidRPr="009B28B0" w:rsidRDefault="00352F6F" w:rsidP="00352F6F">
            <w:pPr>
              <w:jc w:val="center"/>
              <w:rPr>
                <w:rFonts w:ascii="Calibri" w:hAnsi="Calibri" w:cs="Times New Roman"/>
              </w:rPr>
            </w:pPr>
            <w:r>
              <w:rPr>
                <w:rFonts w:ascii="Calibri" w:hAnsi="Calibri" w:cs="Times New Roman"/>
              </w:rPr>
              <w:t>3/29/2018</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41538117" w:rsidR="00352F6F" w:rsidRPr="009B28B0" w:rsidRDefault="00352F6F" w:rsidP="00352F6F">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5C6D6F45" w:rsidR="00352F6F" w:rsidRPr="009B28B0" w:rsidRDefault="00352F6F" w:rsidP="000C6FBF">
            <w:pPr>
              <w:rPr>
                <w:rFonts w:ascii="Calibri" w:hAnsi="Calibri" w:cs="Times New Roman"/>
              </w:rPr>
            </w:pPr>
            <w:r>
              <w:rPr>
                <w:rFonts w:ascii="Calibri" w:hAnsi="Calibri" w:cs="Times New Roman"/>
              </w:rPr>
              <w:t xml:space="preserve">New Document contains a minor revision to update to </w:t>
            </w:r>
            <w:r w:rsidR="000C6FBF">
              <w:rPr>
                <w:rFonts w:ascii="Calibri" w:hAnsi="Calibri" w:cs="Times New Roman"/>
              </w:rPr>
              <w:t>INT</w:t>
            </w:r>
            <w:r>
              <w:rPr>
                <w:rFonts w:ascii="Calibri" w:hAnsi="Calibri" w:cs="Times New Roman"/>
              </w:rPr>
              <w:t>-00</w:t>
            </w:r>
            <w:r w:rsidR="000C6FBF">
              <w:rPr>
                <w:rFonts w:ascii="Calibri" w:hAnsi="Calibri" w:cs="Times New Roman"/>
              </w:rPr>
              <w:t>4</w:t>
            </w:r>
            <w:r>
              <w:rPr>
                <w:rFonts w:ascii="Calibri" w:hAnsi="Calibri" w:cs="Times New Roman"/>
              </w:rPr>
              <w:t>-</w:t>
            </w:r>
            <w:r w:rsidR="000C6FBF">
              <w:rPr>
                <w:rFonts w:ascii="Calibri" w:hAnsi="Calibri" w:cs="Times New Roman"/>
              </w:rPr>
              <w:t>3</w:t>
            </w:r>
            <w:r>
              <w:rPr>
                <w:rFonts w:ascii="Calibri" w:hAnsi="Calibri" w:cs="Times New Roman"/>
              </w:rPr>
              <w:t>.1</w:t>
            </w:r>
          </w:p>
        </w:tc>
      </w:tr>
    </w:tbl>
    <w:p w14:paraId="4279EE94" w14:textId="77777777" w:rsidR="00CF0C11" w:rsidRDefault="00CF0C11" w:rsidP="00CF0C11">
      <w:pPr>
        <w:pStyle w:val="SubHead"/>
      </w:pPr>
    </w:p>
    <w:sectPr w:rsidR="00CF0C11" w:rsidSect="00F019DB">
      <w:headerReference w:type="default" r:id="rId20"/>
      <w:footerReference w:type="default" r:id="rId21"/>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78A2" w14:textId="77777777" w:rsidR="006A30C0" w:rsidRDefault="006A30C0">
      <w:r>
        <w:separator/>
      </w:r>
    </w:p>
  </w:endnote>
  <w:endnote w:type="continuationSeparator" w:id="0">
    <w:p w14:paraId="3ED69FC4" w14:textId="77777777" w:rsidR="006A30C0" w:rsidRDefault="006A30C0">
      <w:r>
        <w:continuationSeparator/>
      </w:r>
    </w:p>
  </w:endnote>
  <w:endnote w:id="1">
    <w:p w14:paraId="7D0C54ED" w14:textId="77777777" w:rsidR="00EE2461" w:rsidRPr="000D0AEA" w:rsidRDefault="00EE2461">
      <w:pPr>
        <w:pStyle w:val="EndnoteText"/>
        <w:rPr>
          <w:rFonts w:asciiTheme="minorHAnsi" w:hAnsiTheme="minorHAnsi"/>
        </w:rPr>
      </w:pPr>
      <w:r w:rsidRPr="000D0AEA">
        <w:rPr>
          <w:rStyle w:val="EndnoteReference"/>
          <w:rFonts w:asciiTheme="minorHAnsi" w:hAnsiTheme="minorHAnsi"/>
        </w:rPr>
        <w:endnoteRef/>
      </w:r>
      <w:r w:rsidRPr="000D0AEA">
        <w:rPr>
          <w:rFonts w:asciiTheme="minorHAnsi" w:hAnsiTheme="minorHAnsi"/>
        </w:rPr>
        <w:t xml:space="preserve"> </w:t>
      </w:r>
      <w:r w:rsidRPr="000D0AE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3B3E8669" w:rsidR="00EE2461" w:rsidRPr="001D34F6" w:rsidRDefault="00EE24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E2461" w:rsidRPr="001D34F6" w:rsidRDefault="00EE24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7477D213" w:rsidR="00EE2461" w:rsidRPr="008C17EB" w:rsidRDefault="00EE24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CE246F">
      <w:rPr>
        <w:rFonts w:asciiTheme="minorHAnsi" w:hAnsiTheme="minorHAnsi"/>
        <w:color w:val="0070C0"/>
        <w:sz w:val="18"/>
        <w:szCs w:val="22"/>
      </w:rPr>
      <w:t>INT-004-3</w:t>
    </w:r>
    <w:r w:rsidR="00CF2F5E">
      <w:rPr>
        <w:rFonts w:asciiTheme="minorHAnsi" w:hAnsiTheme="minorHAnsi"/>
        <w:color w:val="0070C0"/>
        <w:sz w:val="18"/>
        <w:szCs w:val="22"/>
      </w:rPr>
      <w:t>.1</w:t>
    </w:r>
    <w:r w:rsidR="00352F6F">
      <w:rPr>
        <w:rFonts w:asciiTheme="minorHAnsi" w:hAnsiTheme="minorHAnsi"/>
        <w:color w:val="0070C0"/>
        <w:sz w:val="18"/>
        <w:szCs w:val="22"/>
      </w:rPr>
      <w:t>_2018</w:t>
    </w:r>
    <w:r w:rsidRPr="00F019DB">
      <w:rPr>
        <w:rFonts w:asciiTheme="minorHAnsi" w:hAnsiTheme="minorHAnsi"/>
        <w:color w:val="0070C0"/>
        <w:sz w:val="18"/>
        <w:szCs w:val="22"/>
      </w:rPr>
      <w:t>_v</w:t>
    </w:r>
    <w:r w:rsidR="00352F6F">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352F6F">
      <w:rPr>
        <w:rFonts w:asciiTheme="minorHAnsi" w:hAnsiTheme="minorHAnsi"/>
        <w:color w:val="auto"/>
        <w:sz w:val="18"/>
        <w:szCs w:val="22"/>
      </w:rPr>
      <w:t>March</w:t>
    </w:r>
    <w:r w:rsidR="008C4CA8">
      <w:rPr>
        <w:rFonts w:asciiTheme="minorHAnsi" w:hAnsiTheme="minorHAnsi"/>
        <w:color w:val="0070C0"/>
        <w:sz w:val="18"/>
        <w:szCs w:val="22"/>
      </w:rPr>
      <w:t>, 201</w:t>
    </w:r>
    <w:r w:rsidR="003D2642">
      <w:rPr>
        <w:rFonts w:asciiTheme="minorHAnsi" w:hAnsiTheme="minorHAnsi"/>
        <w:color w:val="0070C0"/>
        <w:sz w:val="18"/>
        <w:szCs w:val="22"/>
      </w:rPr>
      <w:t>8</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sidR="008C4CA8">
      <w:rPr>
        <w:rFonts w:asciiTheme="minorHAnsi" w:hAnsiTheme="minorHAnsi"/>
        <w:color w:val="0070C0"/>
        <w:sz w:val="18"/>
        <w:szCs w:val="22"/>
      </w:rPr>
      <w:t>RSAW2014</w:t>
    </w:r>
    <w:r>
      <w:rPr>
        <w:rFonts w:asciiTheme="minorHAnsi" w:hAnsiTheme="minorHAnsi"/>
        <w:color w:val="0070C0"/>
        <w:sz w:val="18"/>
        <w:szCs w:val="22"/>
      </w:rPr>
      <w:t>R</w:t>
    </w:r>
    <w:r w:rsidR="008C4CA8">
      <w:rPr>
        <w:rFonts w:asciiTheme="minorHAnsi" w:hAnsiTheme="minorHAnsi"/>
        <w:color w:val="0070C0"/>
        <w:sz w:val="18"/>
        <w:szCs w:val="22"/>
      </w:rPr>
      <w:t>1.2</w:t>
    </w:r>
  </w:p>
  <w:p w14:paraId="25C67880" w14:textId="7020F5D1" w:rsidR="00EE2461" w:rsidRPr="0071254D" w:rsidRDefault="00EE24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43BAF">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E84E" w14:textId="77777777" w:rsidR="006A30C0" w:rsidRDefault="006A30C0">
      <w:r>
        <w:separator/>
      </w:r>
    </w:p>
  </w:footnote>
  <w:footnote w:type="continuationSeparator" w:id="0">
    <w:p w14:paraId="106DFB51" w14:textId="77777777" w:rsidR="006A30C0" w:rsidRDefault="006A30C0">
      <w:r>
        <w:continuationSeparator/>
      </w:r>
    </w:p>
  </w:footnote>
  <w:footnote w:id="1">
    <w:p w14:paraId="43ED6495" w14:textId="77777777" w:rsidR="00EE2461" w:rsidRPr="004F562B" w:rsidRDefault="00EE24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E2461" w:rsidRPr="004F562B" w:rsidRDefault="00EE2461" w:rsidP="001D52A5">
      <w:pPr>
        <w:jc w:val="both"/>
        <w:rPr>
          <w:rFonts w:asciiTheme="minorHAnsi" w:hAnsiTheme="minorHAnsi" w:cs="Times New Roman"/>
          <w:sz w:val="16"/>
          <w:szCs w:val="16"/>
        </w:rPr>
      </w:pPr>
    </w:p>
    <w:p w14:paraId="5A4CC534" w14:textId="3F5615E6" w:rsidR="00EE2461" w:rsidRDefault="00F67F1F">
      <w:pPr>
        <w:pStyle w:val="FootnoteText"/>
      </w:pPr>
      <w:r w:rsidRPr="00F67F1F">
        <w:rPr>
          <w:rFonts w:asciiTheme="minorHAnsi" w:hAnsiTheme="minorHAnsi" w:cs="Times New Roman"/>
          <w:sz w:val="16"/>
          <w:szCs w:val="16"/>
        </w:rPr>
        <w:t>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w:t>
      </w:r>
    </w:p>
  </w:footnote>
  <w:footnote w:id="2">
    <w:p w14:paraId="4E364D8E" w14:textId="77777777" w:rsidR="00EE2461" w:rsidRPr="005E228B" w:rsidRDefault="00EE246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AB135F8" w14:textId="77777777" w:rsidR="006E7ED6" w:rsidRPr="006E7ED6" w:rsidRDefault="006E7ED6" w:rsidP="006E7ED6">
      <w:pPr>
        <w:pStyle w:val="FootnoteText"/>
        <w:rPr>
          <w:rFonts w:asciiTheme="minorHAnsi" w:hAnsiTheme="minorHAnsi"/>
          <w:sz w:val="16"/>
          <w:szCs w:val="16"/>
        </w:rPr>
      </w:pPr>
      <w:r w:rsidRPr="006E7ED6">
        <w:rPr>
          <w:rStyle w:val="FootnoteReference"/>
          <w:rFonts w:asciiTheme="minorHAnsi" w:hAnsiTheme="minorHAnsi"/>
          <w:sz w:val="16"/>
          <w:szCs w:val="16"/>
        </w:rPr>
        <w:footnoteRef/>
      </w:r>
      <w:r w:rsidRPr="006E7ED6">
        <w:rPr>
          <w:rFonts w:asciiTheme="minorHAnsi" w:hAnsiTheme="minorHAnsi"/>
          <w:sz w:val="16"/>
          <w:szCs w:val="16"/>
        </w:rPr>
        <w:t xml:space="preserve"> Please refer to the timing tables of INT-006-4.</w:t>
      </w:r>
    </w:p>
  </w:footnote>
  <w:footnote w:id="4">
    <w:p w14:paraId="5DE358A2" w14:textId="1CCA3AAD" w:rsidR="009B76AA" w:rsidRPr="009B76AA" w:rsidRDefault="009B76AA">
      <w:pPr>
        <w:pStyle w:val="FootnoteText"/>
        <w:rPr>
          <w:rFonts w:asciiTheme="minorHAnsi" w:hAnsiTheme="minorHAnsi"/>
          <w:sz w:val="20"/>
          <w:szCs w:val="20"/>
        </w:rPr>
      </w:pPr>
      <w:r w:rsidRPr="009B76AA">
        <w:rPr>
          <w:rStyle w:val="FootnoteReference"/>
          <w:rFonts w:asciiTheme="minorHAnsi" w:hAnsiTheme="minorHAnsi"/>
          <w:sz w:val="20"/>
          <w:szCs w:val="20"/>
        </w:rPr>
        <w:footnoteRef/>
      </w:r>
      <w:r w:rsidRPr="009B76AA">
        <w:rPr>
          <w:rFonts w:asciiTheme="minorHAnsi" w:hAnsiTheme="minorHAnsi"/>
          <w:sz w:val="20"/>
          <w:szCs w:val="20"/>
        </w:rPr>
        <w:t xml:space="preserve"> </w:t>
      </w:r>
      <w:r w:rsidRPr="009B76AA">
        <w:rPr>
          <w:rFonts w:asciiTheme="minorHAnsi" w:hAnsiTheme="minorHAnsi"/>
          <w:color w:val="545454"/>
          <w:sz w:val="20"/>
          <w:szCs w:val="20"/>
        </w:rPr>
        <w:t>North American Energy Standards Board.</w:t>
      </w:r>
    </w:p>
  </w:footnote>
  <w:footnote w:id="5">
    <w:p w14:paraId="2DA06E5A" w14:textId="351625B5" w:rsidR="00233990" w:rsidRPr="00187B8E" w:rsidRDefault="00233990">
      <w:pPr>
        <w:pStyle w:val="FootnoteText"/>
        <w:rPr>
          <w:rFonts w:asciiTheme="minorHAnsi" w:hAnsiTheme="minorHAnsi"/>
          <w:sz w:val="18"/>
          <w:szCs w:val="18"/>
        </w:rPr>
      </w:pPr>
      <w:r w:rsidRPr="00187B8E">
        <w:rPr>
          <w:rStyle w:val="FootnoteReference"/>
          <w:rFonts w:asciiTheme="minorHAnsi" w:hAnsiTheme="minorHAnsi"/>
          <w:sz w:val="18"/>
          <w:szCs w:val="18"/>
        </w:rPr>
        <w:footnoteRef/>
      </w:r>
      <w:r w:rsidRPr="00187B8E">
        <w:rPr>
          <w:rFonts w:asciiTheme="minorHAnsi" w:hAnsiTheme="minorHAnsi"/>
          <w:sz w:val="18"/>
          <w:szCs w:val="18"/>
        </w:rPr>
        <w:t xml:space="preserve"> </w:t>
      </w:r>
      <w:r w:rsidRPr="00187B8E">
        <w:rPr>
          <w:rFonts w:asciiTheme="minorHAnsi" w:hAnsiTheme="minorHAnsi" w:cs="Calibri-Italic"/>
          <w:i/>
          <w:iCs/>
          <w:sz w:val="18"/>
          <w:szCs w:val="18"/>
        </w:rPr>
        <w:t>Mandatory Reliability Standards for the Bulk</w:t>
      </w:r>
      <w:r w:rsidRPr="00187B8E">
        <w:rPr>
          <w:rFonts w:asciiTheme="minorHAnsi" w:hAnsiTheme="minorHAnsi" w:cs="Cambria Math"/>
          <w:i/>
          <w:iCs/>
          <w:sz w:val="18"/>
          <w:szCs w:val="18"/>
        </w:rPr>
        <w:t>‐</w:t>
      </w:r>
      <w:r w:rsidRPr="00187B8E">
        <w:rPr>
          <w:rFonts w:asciiTheme="minorHAnsi" w:hAnsiTheme="minorHAnsi" w:cs="Calibri-Italic"/>
          <w:i/>
          <w:iCs/>
          <w:sz w:val="18"/>
          <w:szCs w:val="18"/>
        </w:rPr>
        <w:t>Power System</w:t>
      </w:r>
      <w:r w:rsidRPr="00187B8E">
        <w:rPr>
          <w:rFonts w:asciiTheme="minorHAnsi" w:hAnsiTheme="minorHAnsi" w:cs="Calibri"/>
          <w:sz w:val="18"/>
          <w:szCs w:val="18"/>
        </w:rPr>
        <w:t>, 118 FERC ¶ 61,218 at P825 (March 16, 2007)</w:t>
      </w:r>
      <w:r w:rsidR="00297A2F" w:rsidRPr="00187B8E">
        <w:rPr>
          <w:rFonts w:asciiTheme="minorHAnsi" w:hAnsiTheme="minorHAnsi" w:cs="Calibri"/>
          <w:sz w:val="18"/>
          <w:szCs w:val="18"/>
        </w:rPr>
        <w:t xml:space="preserve"> (“Order 693”)</w:t>
      </w:r>
      <w:r w:rsidRPr="00187B8E">
        <w:rPr>
          <w:rFonts w:asciiTheme="minorHAnsi" w:hAnsiTheme="minorHAnsi" w:cs="Calibri"/>
          <w:sz w:val="18"/>
          <w:szCs w:val="18"/>
        </w:rPr>
        <w:t>.</w:t>
      </w:r>
    </w:p>
  </w:footnote>
  <w:footnote w:id="6">
    <w:p w14:paraId="2CAAFD28" w14:textId="67C8C8ED" w:rsidR="00233990" w:rsidRPr="00187B8E" w:rsidRDefault="00233990" w:rsidP="00233990">
      <w:pPr>
        <w:pStyle w:val="FERCparanumber"/>
        <w:tabs>
          <w:tab w:val="clear" w:pos="720"/>
        </w:tabs>
        <w:rPr>
          <w:b/>
          <w:sz w:val="18"/>
          <w:szCs w:val="18"/>
        </w:rPr>
      </w:pPr>
      <w:r w:rsidRPr="00187B8E">
        <w:rPr>
          <w:rStyle w:val="FootnoteReference"/>
          <w:sz w:val="18"/>
          <w:szCs w:val="18"/>
        </w:rPr>
        <w:footnoteRef/>
      </w:r>
      <w:r w:rsidRPr="00187B8E">
        <w:rPr>
          <w:sz w:val="18"/>
          <w:szCs w:val="18"/>
        </w:rPr>
        <w:t xml:space="preserve"> </w:t>
      </w:r>
      <w:r w:rsidRPr="00187B8E">
        <w:rPr>
          <w:i/>
          <w:sz w:val="18"/>
          <w:szCs w:val="18"/>
        </w:rPr>
        <w:t xml:space="preserve">Modification of Interchange and Transmission Loading Relief Reliability Standards; and Electric Reliability Organization </w:t>
      </w:r>
      <w:r w:rsidR="00297A2F" w:rsidRPr="00187B8E">
        <w:rPr>
          <w:i/>
          <w:sz w:val="18"/>
          <w:szCs w:val="18"/>
        </w:rPr>
        <w:t>Interpretations</w:t>
      </w:r>
      <w:r w:rsidRPr="00187B8E">
        <w:rPr>
          <w:i/>
          <w:sz w:val="18"/>
          <w:szCs w:val="18"/>
        </w:rPr>
        <w:t xml:space="preserve"> of Specific Requirements of Four Reliability Standards</w:t>
      </w:r>
      <w:r w:rsidRPr="00187B8E">
        <w:rPr>
          <w:sz w:val="18"/>
          <w:szCs w:val="18"/>
        </w:rPr>
        <w:t>, 124 FERC, ¶ 61,071 at P53 (July 21, 2008) (“Order 713”).</w:t>
      </w:r>
    </w:p>
    <w:p w14:paraId="743B03BC" w14:textId="2243E40D" w:rsidR="00233990" w:rsidRDefault="0023399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20DA195F" w:rsidR="00EE2461" w:rsidRDefault="00EE2461" w:rsidP="00E67FE8">
    <w:pPr>
      <w:widowControl w:val="0"/>
      <w:spacing w:line="294" w:lineRule="exact"/>
      <w:rPr>
        <w:rFonts w:ascii="Times New Roman" w:hAnsi="Times New Roman" w:cs="Times New Roman"/>
        <w:b/>
        <w:bCs/>
        <w:color w:val="003366"/>
        <w:sz w:val="28"/>
        <w:szCs w:val="28"/>
      </w:rPr>
    </w:pPr>
  </w:p>
  <w:p w14:paraId="15ACB535" w14:textId="4561577F" w:rsidR="00EE2461" w:rsidRPr="00747591" w:rsidRDefault="00EE24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E2461" w:rsidRDefault="00EE246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E2461" w:rsidRDefault="00EE246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5F7A20"/>
    <w:multiLevelType w:val="multilevel"/>
    <w:tmpl w:val="9CCA6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169EC"/>
    <w:multiLevelType w:val="multilevel"/>
    <w:tmpl w:val="A35EB440"/>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bullet"/>
      <w:lvlText w:val="o"/>
      <w:lvlJc w:val="left"/>
      <w:pPr>
        <w:tabs>
          <w:tab w:val="num" w:pos="1080"/>
        </w:tabs>
        <w:ind w:left="2160" w:hanging="1080"/>
      </w:pPr>
      <w:rPr>
        <w:rFonts w:ascii="Courier New" w:hAnsi="Courier New" w:cs="Courier New"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15:restartNumberingAfterBreak="0">
    <w:nsid w:val="0BC7728F"/>
    <w:multiLevelType w:val="multilevel"/>
    <w:tmpl w:val="32F8A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A1640"/>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5" w15:restartNumberingAfterBreak="0">
    <w:nsid w:val="224B5F89"/>
    <w:multiLevelType w:val="hybridMultilevel"/>
    <w:tmpl w:val="9A30AD7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30F15038"/>
    <w:multiLevelType w:val="multilevel"/>
    <w:tmpl w:val="61128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BC4E84"/>
    <w:multiLevelType w:val="hybridMultilevel"/>
    <w:tmpl w:val="CD6EA872"/>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721A7C"/>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9" w15:restartNumberingAfterBreak="0">
    <w:nsid w:val="3A091B02"/>
    <w:multiLevelType w:val="hybridMultilevel"/>
    <w:tmpl w:val="2FC053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603329F"/>
    <w:multiLevelType w:val="multilevel"/>
    <w:tmpl w:val="7340D1B6"/>
    <w:lvl w:ilvl="0">
      <w:start w:val="1"/>
      <w:numFmt w:val="decimal"/>
      <w:pStyle w:val="Requirement"/>
      <w:lvlText w:val="R%1."/>
      <w:lvlJc w:val="left"/>
      <w:pPr>
        <w:tabs>
          <w:tab w:val="num" w:pos="-144"/>
        </w:tabs>
        <w:ind w:left="-144" w:hanging="576"/>
      </w:pPr>
      <w:rPr>
        <w:rFonts w:hint="default"/>
        <w:b/>
        <w:i w:val="0"/>
        <w:sz w:val="24"/>
        <w:szCs w:val="22"/>
      </w:rPr>
    </w:lvl>
    <w:lvl w:ilvl="1">
      <w:start w:val="1"/>
      <w:numFmt w:val="decimal"/>
      <w:lvlText w:val="%1.%2."/>
      <w:lvlJc w:val="left"/>
      <w:pPr>
        <w:tabs>
          <w:tab w:val="num" w:pos="360"/>
        </w:tabs>
        <w:ind w:left="360" w:hanging="504"/>
      </w:pPr>
      <w:rPr>
        <w:rFonts w:asciiTheme="minorHAnsi" w:hAnsiTheme="minorHAnsi" w:hint="default"/>
        <w:b/>
        <w:i w:val="0"/>
        <w:sz w:val="24"/>
        <w:szCs w:val="22"/>
      </w:rPr>
    </w:lvl>
    <w:lvl w:ilvl="2">
      <w:start w:val="1"/>
      <w:numFmt w:val="decimal"/>
      <w:lvlText w:val="%1.%2.%3."/>
      <w:lvlJc w:val="left"/>
      <w:pPr>
        <w:tabs>
          <w:tab w:val="num" w:pos="648"/>
        </w:tabs>
        <w:ind w:left="1080" w:hanging="720"/>
      </w:pPr>
      <w:rPr>
        <w:rFonts w:ascii="Times New Roman" w:hAnsi="Times New Roman"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15:restartNumberingAfterBreak="0">
    <w:nsid w:val="4C85482B"/>
    <w:multiLevelType w:val="multilevel"/>
    <w:tmpl w:val="E01EA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C54135"/>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13" w15:restartNumberingAfterBreak="0">
    <w:nsid w:val="5F4F17D1"/>
    <w:multiLevelType w:val="multilevel"/>
    <w:tmpl w:val="B0E84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CB3584"/>
    <w:multiLevelType w:val="multilevel"/>
    <w:tmpl w:val="E8DE2248"/>
    <w:lvl w:ilvl="0">
      <w:start w:val="5"/>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15:restartNumberingAfterBreak="0">
    <w:nsid w:val="6D437642"/>
    <w:multiLevelType w:val="multilevel"/>
    <w:tmpl w:val="1536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6278A6"/>
    <w:multiLevelType w:val="multilevel"/>
    <w:tmpl w:val="A9CC9850"/>
    <w:lvl w:ilvl="0">
      <w:start w:val="1"/>
      <w:numFmt w:val="decimal"/>
      <w:lvlText w:val="R%1."/>
      <w:lvlJc w:val="left"/>
      <w:pPr>
        <w:tabs>
          <w:tab w:val="num" w:pos="1080"/>
        </w:tabs>
        <w:ind w:left="1080" w:hanging="576"/>
      </w:pPr>
      <w:rPr>
        <w:rFonts w:cs="Times New Roman" w:hint="default"/>
        <w:b/>
        <w:i w:val="0"/>
        <w:sz w:val="22"/>
        <w:szCs w:val="22"/>
      </w:rPr>
    </w:lvl>
    <w:lvl w:ilvl="1">
      <w:start w:val="1"/>
      <w:numFmt w:val="bullet"/>
      <w:pStyle w:val="ListBullet2"/>
      <w:lvlText w:val="-"/>
      <w:lvlJc w:val="left"/>
      <w:pPr>
        <w:tabs>
          <w:tab w:val="num" w:pos="1440"/>
        </w:tabs>
        <w:ind w:left="1440" w:hanging="360"/>
      </w:pPr>
      <w:rPr>
        <w:rFonts w:ascii="Courier New" w:hAnsi="Courier New" w:hint="default"/>
        <w:b/>
        <w:i w:val="0"/>
        <w:color w:val="auto"/>
        <w:sz w:val="22"/>
      </w:rPr>
    </w:lvl>
    <w:lvl w:ilvl="2">
      <w:start w:val="1"/>
      <w:numFmt w:val="decimal"/>
      <w:lvlText w:val="R%1.%2.%3."/>
      <w:lvlJc w:val="left"/>
      <w:pPr>
        <w:tabs>
          <w:tab w:val="num" w:pos="1872"/>
        </w:tabs>
        <w:ind w:left="2736" w:hanging="864"/>
      </w:pPr>
      <w:rPr>
        <w:rFonts w:ascii="Times New Roman" w:hAnsi="Times New Roman" w:cs="Times New Roman" w:hint="default"/>
        <w:b/>
        <w:i w:val="0"/>
        <w:sz w:val="22"/>
        <w:szCs w:val="22"/>
      </w:rPr>
    </w:lvl>
    <w:lvl w:ilvl="3">
      <w:start w:val="1"/>
      <w:numFmt w:val="decimal"/>
      <w:lvlText w:val="%1.%2.%3.%4."/>
      <w:lvlJc w:val="left"/>
      <w:pPr>
        <w:tabs>
          <w:tab w:val="num" w:pos="3024"/>
        </w:tabs>
        <w:ind w:left="2952" w:hanging="648"/>
      </w:pPr>
      <w:rPr>
        <w:rFonts w:cs="Times New Roman" w:hint="default"/>
        <w:b w:val="0"/>
        <w:i w:val="0"/>
      </w:rPr>
    </w:lvl>
    <w:lvl w:ilvl="4">
      <w:start w:val="1"/>
      <w:numFmt w:val="decimal"/>
      <w:lvlText w:val="%1.%2.%3.%4.%5"/>
      <w:lvlJc w:val="left"/>
      <w:pPr>
        <w:tabs>
          <w:tab w:val="num" w:pos="3456"/>
        </w:tabs>
        <w:ind w:left="3600" w:hanging="216"/>
      </w:pPr>
      <w:rPr>
        <w:rFonts w:ascii="Times New Roman" w:hAnsi="Times New Roman" w:cs="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cs="Times New Roman" w:hint="default"/>
      </w:rPr>
    </w:lvl>
    <w:lvl w:ilvl="7">
      <w:start w:val="1"/>
      <w:numFmt w:val="decimal"/>
      <w:lvlText w:val="%1.%2.%3.%4.%5.%6.%7.%8."/>
      <w:lvlJc w:val="left"/>
      <w:pPr>
        <w:tabs>
          <w:tab w:val="num" w:pos="4464"/>
        </w:tabs>
        <w:ind w:left="4248" w:hanging="1224"/>
      </w:pPr>
      <w:rPr>
        <w:rFonts w:cs="Times New Roman" w:hint="default"/>
      </w:rPr>
    </w:lvl>
    <w:lvl w:ilvl="8">
      <w:start w:val="1"/>
      <w:numFmt w:val="decimal"/>
      <w:lvlText w:val="%1.%2.%3.%4.%5.%6.%7.%8.%9."/>
      <w:lvlJc w:val="left"/>
      <w:pPr>
        <w:tabs>
          <w:tab w:val="num" w:pos="5184"/>
        </w:tabs>
        <w:ind w:left="4824" w:hanging="1440"/>
      </w:pPr>
      <w:rPr>
        <w:rFonts w:cs="Times New Roman" w:hint="default"/>
      </w:rPr>
    </w:lvl>
  </w:abstractNum>
  <w:abstractNum w:abstractNumId="17" w15:restartNumberingAfterBreak="0">
    <w:nsid w:val="6F4F71BF"/>
    <w:multiLevelType w:val="multilevel"/>
    <w:tmpl w:val="E118E0FA"/>
    <w:lvl w:ilvl="0">
      <w:start w:val="1"/>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R%2."/>
      <w:lvlJc w:val="left"/>
      <w:pPr>
        <w:tabs>
          <w:tab w:val="num" w:pos="1044"/>
        </w:tabs>
        <w:ind w:left="1044" w:hanging="504"/>
      </w:pPr>
      <w:rPr>
        <w:rFonts w:asciiTheme="minorHAnsi" w:hAnsiTheme="minorHAnsi" w:hint="default"/>
        <w:b/>
        <w:i w:val="0"/>
        <w:sz w:val="24"/>
        <w:szCs w:val="24"/>
      </w:rPr>
    </w:lvl>
    <w:lvl w:ilvl="2">
      <w:start w:val="1"/>
      <w:numFmt w:val="decimal"/>
      <w:lvlText w:val="R%2.%3."/>
      <w:lvlJc w:val="left"/>
      <w:pPr>
        <w:tabs>
          <w:tab w:val="num" w:pos="1656"/>
        </w:tabs>
        <w:ind w:left="1656" w:hanging="648"/>
      </w:pPr>
      <w:rPr>
        <w:rFonts w:ascii="Times New Roman" w:hAnsi="Times New Roman" w:hint="default"/>
        <w:b/>
        <w:i w:val="0"/>
        <w:sz w:val="22"/>
        <w:szCs w:val="22"/>
      </w:rPr>
    </w:lvl>
    <w:lvl w:ilvl="3">
      <w:start w:val="1"/>
      <w:numFmt w:val="decimal"/>
      <w:lvlText w:val="R%3.%2.%4."/>
      <w:lvlJc w:val="left"/>
      <w:pPr>
        <w:tabs>
          <w:tab w:val="num" w:pos="2448"/>
        </w:tabs>
        <w:ind w:left="2448" w:hanging="792"/>
      </w:pPr>
      <w:rPr>
        <w:rFonts w:ascii="Times New Roman" w:hAnsi="Times New Roman" w:hint="default"/>
        <w:b/>
        <w:i w:val="0"/>
        <w:sz w:val="22"/>
        <w:szCs w:val="22"/>
      </w:rPr>
    </w:lvl>
    <w:lvl w:ilvl="4">
      <w:start w:val="1"/>
      <w:numFmt w:val="lowerLetter"/>
      <w:lvlText w:val="%5)"/>
      <w:lvlJc w:val="left"/>
      <w:pPr>
        <w:tabs>
          <w:tab w:val="num" w:pos="1656"/>
        </w:tabs>
        <w:ind w:left="1656" w:hanging="648"/>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8" w15:restartNumberingAfterBreak="0">
    <w:nsid w:val="7B2C1543"/>
    <w:multiLevelType w:val="multilevel"/>
    <w:tmpl w:val="E22A2A64"/>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9" w15:restartNumberingAfterBreak="0">
    <w:nsid w:val="7C4D71AB"/>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num w:numId="1">
    <w:abstractNumId w:val="10"/>
  </w:num>
  <w:num w:numId="2">
    <w:abstractNumId w:val="14"/>
  </w:num>
  <w:num w:numId="3">
    <w:abstractNumId w:val="11"/>
  </w:num>
  <w:num w:numId="4">
    <w:abstractNumId w:val="1"/>
  </w:num>
  <w:num w:numId="5">
    <w:abstractNumId w:val="9"/>
  </w:num>
  <w:num w:numId="6">
    <w:abstractNumId w:val="19"/>
  </w:num>
  <w:num w:numId="7">
    <w:abstractNumId w:val="3"/>
  </w:num>
  <w:num w:numId="8">
    <w:abstractNumId w:val="15"/>
  </w:num>
  <w:num w:numId="9">
    <w:abstractNumId w:val="6"/>
  </w:num>
  <w:num w:numId="10">
    <w:abstractNumId w:val="14"/>
  </w:num>
  <w:num w:numId="11">
    <w:abstractNumId w:val="13"/>
  </w:num>
  <w:num w:numId="12">
    <w:abstractNumId w:val="12"/>
  </w:num>
  <w:num w:numId="13">
    <w:abstractNumId w:val="4"/>
  </w:num>
  <w:num w:numId="14">
    <w:abstractNumId w:val="8"/>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2"/>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BCF"/>
    <w:rsid w:val="00014D37"/>
    <w:rsid w:val="00015EAB"/>
    <w:rsid w:val="0001788B"/>
    <w:rsid w:val="000179A2"/>
    <w:rsid w:val="000212D9"/>
    <w:rsid w:val="00021844"/>
    <w:rsid w:val="00022E22"/>
    <w:rsid w:val="00023D31"/>
    <w:rsid w:val="000247EF"/>
    <w:rsid w:val="000300B9"/>
    <w:rsid w:val="00034ADC"/>
    <w:rsid w:val="00036978"/>
    <w:rsid w:val="00041263"/>
    <w:rsid w:val="00041788"/>
    <w:rsid w:val="00044024"/>
    <w:rsid w:val="00045121"/>
    <w:rsid w:val="00047231"/>
    <w:rsid w:val="000476AF"/>
    <w:rsid w:val="00052F5E"/>
    <w:rsid w:val="0005590C"/>
    <w:rsid w:val="00056282"/>
    <w:rsid w:val="0005734A"/>
    <w:rsid w:val="00060F12"/>
    <w:rsid w:val="00061CC7"/>
    <w:rsid w:val="00066981"/>
    <w:rsid w:val="00072DCD"/>
    <w:rsid w:val="00075B20"/>
    <w:rsid w:val="00077313"/>
    <w:rsid w:val="0008149C"/>
    <w:rsid w:val="00082DC8"/>
    <w:rsid w:val="000849D2"/>
    <w:rsid w:val="000849DD"/>
    <w:rsid w:val="00087F7F"/>
    <w:rsid w:val="000907F2"/>
    <w:rsid w:val="00091FA4"/>
    <w:rsid w:val="00093323"/>
    <w:rsid w:val="00097166"/>
    <w:rsid w:val="00097452"/>
    <w:rsid w:val="000A1F3A"/>
    <w:rsid w:val="000A4050"/>
    <w:rsid w:val="000A46BA"/>
    <w:rsid w:val="000A56B5"/>
    <w:rsid w:val="000A6C3D"/>
    <w:rsid w:val="000A7FA0"/>
    <w:rsid w:val="000B0E7C"/>
    <w:rsid w:val="000B2F8B"/>
    <w:rsid w:val="000B681C"/>
    <w:rsid w:val="000B6877"/>
    <w:rsid w:val="000C282B"/>
    <w:rsid w:val="000C509C"/>
    <w:rsid w:val="000C6FBF"/>
    <w:rsid w:val="000C7A6E"/>
    <w:rsid w:val="000D09F7"/>
    <w:rsid w:val="000D0AEA"/>
    <w:rsid w:val="000D157D"/>
    <w:rsid w:val="000D3E6A"/>
    <w:rsid w:val="000D57B1"/>
    <w:rsid w:val="000D69B0"/>
    <w:rsid w:val="000E2151"/>
    <w:rsid w:val="000E255C"/>
    <w:rsid w:val="000E26E2"/>
    <w:rsid w:val="000E27D2"/>
    <w:rsid w:val="000E2B5C"/>
    <w:rsid w:val="000E3AAA"/>
    <w:rsid w:val="000E3DDD"/>
    <w:rsid w:val="000E4EF6"/>
    <w:rsid w:val="000E5A5A"/>
    <w:rsid w:val="000E5DD8"/>
    <w:rsid w:val="000E6A53"/>
    <w:rsid w:val="000E70EC"/>
    <w:rsid w:val="000E7488"/>
    <w:rsid w:val="000F0BD8"/>
    <w:rsid w:val="000F0E1F"/>
    <w:rsid w:val="000F0F87"/>
    <w:rsid w:val="000F2E7B"/>
    <w:rsid w:val="000F41CE"/>
    <w:rsid w:val="000F62C0"/>
    <w:rsid w:val="000F6D7D"/>
    <w:rsid w:val="000F723F"/>
    <w:rsid w:val="00100788"/>
    <w:rsid w:val="001057DE"/>
    <w:rsid w:val="001061B6"/>
    <w:rsid w:val="001075BF"/>
    <w:rsid w:val="00111900"/>
    <w:rsid w:val="00111E67"/>
    <w:rsid w:val="00113668"/>
    <w:rsid w:val="00113A57"/>
    <w:rsid w:val="00114301"/>
    <w:rsid w:val="00114F96"/>
    <w:rsid w:val="001150AC"/>
    <w:rsid w:val="00115DBA"/>
    <w:rsid w:val="00116AAD"/>
    <w:rsid w:val="00116E61"/>
    <w:rsid w:val="001209C7"/>
    <w:rsid w:val="00135B25"/>
    <w:rsid w:val="0013627F"/>
    <w:rsid w:val="00137112"/>
    <w:rsid w:val="00137D6A"/>
    <w:rsid w:val="00142616"/>
    <w:rsid w:val="00142A0C"/>
    <w:rsid w:val="001463DA"/>
    <w:rsid w:val="0015166E"/>
    <w:rsid w:val="001566E4"/>
    <w:rsid w:val="00157B1C"/>
    <w:rsid w:val="001600CB"/>
    <w:rsid w:val="00161974"/>
    <w:rsid w:val="00161BCD"/>
    <w:rsid w:val="00162927"/>
    <w:rsid w:val="00167DAC"/>
    <w:rsid w:val="00171071"/>
    <w:rsid w:val="001727AB"/>
    <w:rsid w:val="00172DFD"/>
    <w:rsid w:val="00177161"/>
    <w:rsid w:val="00177FD0"/>
    <w:rsid w:val="00182687"/>
    <w:rsid w:val="0018370E"/>
    <w:rsid w:val="00184AA8"/>
    <w:rsid w:val="00184CFC"/>
    <w:rsid w:val="0018782A"/>
    <w:rsid w:val="00187B8E"/>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144F"/>
    <w:rsid w:val="00212EEE"/>
    <w:rsid w:val="00213D72"/>
    <w:rsid w:val="00214DF3"/>
    <w:rsid w:val="002152B0"/>
    <w:rsid w:val="00216D60"/>
    <w:rsid w:val="00217196"/>
    <w:rsid w:val="00220AF2"/>
    <w:rsid w:val="00222481"/>
    <w:rsid w:val="00223F3F"/>
    <w:rsid w:val="00224B6E"/>
    <w:rsid w:val="00224F11"/>
    <w:rsid w:val="00225322"/>
    <w:rsid w:val="00226184"/>
    <w:rsid w:val="00231A38"/>
    <w:rsid w:val="00233990"/>
    <w:rsid w:val="00234DD6"/>
    <w:rsid w:val="00236B31"/>
    <w:rsid w:val="00237055"/>
    <w:rsid w:val="00241F98"/>
    <w:rsid w:val="002420D5"/>
    <w:rsid w:val="0024538A"/>
    <w:rsid w:val="002460D2"/>
    <w:rsid w:val="002462CB"/>
    <w:rsid w:val="00246DD2"/>
    <w:rsid w:val="00247004"/>
    <w:rsid w:val="002515D8"/>
    <w:rsid w:val="00252ABD"/>
    <w:rsid w:val="002613DD"/>
    <w:rsid w:val="002628BA"/>
    <w:rsid w:val="002648FF"/>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44D6"/>
    <w:rsid w:val="00295776"/>
    <w:rsid w:val="00296AB3"/>
    <w:rsid w:val="00297A2F"/>
    <w:rsid w:val="00297D67"/>
    <w:rsid w:val="002A01BD"/>
    <w:rsid w:val="002A0890"/>
    <w:rsid w:val="002A297F"/>
    <w:rsid w:val="002A384E"/>
    <w:rsid w:val="002A3B82"/>
    <w:rsid w:val="002A6506"/>
    <w:rsid w:val="002A73FC"/>
    <w:rsid w:val="002A7E8B"/>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34AC"/>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3BAF"/>
    <w:rsid w:val="00345FA1"/>
    <w:rsid w:val="00346551"/>
    <w:rsid w:val="00346CA1"/>
    <w:rsid w:val="0035254C"/>
    <w:rsid w:val="00352AC9"/>
    <w:rsid w:val="00352F6F"/>
    <w:rsid w:val="00353E3C"/>
    <w:rsid w:val="00353EC7"/>
    <w:rsid w:val="00354CBA"/>
    <w:rsid w:val="00356DFB"/>
    <w:rsid w:val="003612BA"/>
    <w:rsid w:val="003613BA"/>
    <w:rsid w:val="00363C51"/>
    <w:rsid w:val="00364605"/>
    <w:rsid w:val="00364BA3"/>
    <w:rsid w:val="00364E38"/>
    <w:rsid w:val="00365D4D"/>
    <w:rsid w:val="00370777"/>
    <w:rsid w:val="0037545A"/>
    <w:rsid w:val="00375760"/>
    <w:rsid w:val="003771E5"/>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38A1"/>
    <w:rsid w:val="003C5A9F"/>
    <w:rsid w:val="003C629F"/>
    <w:rsid w:val="003C64CF"/>
    <w:rsid w:val="003C68D9"/>
    <w:rsid w:val="003D1343"/>
    <w:rsid w:val="003D2642"/>
    <w:rsid w:val="003D28AA"/>
    <w:rsid w:val="003D39AE"/>
    <w:rsid w:val="003D7039"/>
    <w:rsid w:val="003D7853"/>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2701"/>
    <w:rsid w:val="00413564"/>
    <w:rsid w:val="00413E22"/>
    <w:rsid w:val="00415246"/>
    <w:rsid w:val="004158C1"/>
    <w:rsid w:val="004206B7"/>
    <w:rsid w:val="00420DFB"/>
    <w:rsid w:val="00421090"/>
    <w:rsid w:val="0042216A"/>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3F05"/>
    <w:rsid w:val="00454791"/>
    <w:rsid w:val="004563E3"/>
    <w:rsid w:val="00456BF5"/>
    <w:rsid w:val="00462069"/>
    <w:rsid w:val="004621C7"/>
    <w:rsid w:val="0046364E"/>
    <w:rsid w:val="00464FDB"/>
    <w:rsid w:val="00465F5F"/>
    <w:rsid w:val="00467D57"/>
    <w:rsid w:val="00470ADE"/>
    <w:rsid w:val="00471785"/>
    <w:rsid w:val="00471D99"/>
    <w:rsid w:val="0047440B"/>
    <w:rsid w:val="004768F2"/>
    <w:rsid w:val="0048223A"/>
    <w:rsid w:val="00490283"/>
    <w:rsid w:val="0049303A"/>
    <w:rsid w:val="0049415C"/>
    <w:rsid w:val="00495257"/>
    <w:rsid w:val="004969DC"/>
    <w:rsid w:val="004A1D06"/>
    <w:rsid w:val="004A2ABA"/>
    <w:rsid w:val="004A308D"/>
    <w:rsid w:val="004A4FFD"/>
    <w:rsid w:val="004A5CF9"/>
    <w:rsid w:val="004A78D6"/>
    <w:rsid w:val="004B0169"/>
    <w:rsid w:val="004B162A"/>
    <w:rsid w:val="004B3780"/>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529"/>
    <w:rsid w:val="00542761"/>
    <w:rsid w:val="005466D8"/>
    <w:rsid w:val="005477A9"/>
    <w:rsid w:val="00550866"/>
    <w:rsid w:val="00553372"/>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77925"/>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1E4C"/>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1F95"/>
    <w:rsid w:val="00634133"/>
    <w:rsid w:val="00635FB0"/>
    <w:rsid w:val="00642AE9"/>
    <w:rsid w:val="0064547F"/>
    <w:rsid w:val="006477F2"/>
    <w:rsid w:val="006504E1"/>
    <w:rsid w:val="00651481"/>
    <w:rsid w:val="00654818"/>
    <w:rsid w:val="00654B57"/>
    <w:rsid w:val="00660E26"/>
    <w:rsid w:val="00661A57"/>
    <w:rsid w:val="0066403A"/>
    <w:rsid w:val="00664419"/>
    <w:rsid w:val="00665924"/>
    <w:rsid w:val="00671167"/>
    <w:rsid w:val="006734AC"/>
    <w:rsid w:val="006779E8"/>
    <w:rsid w:val="00677F0D"/>
    <w:rsid w:val="00680C03"/>
    <w:rsid w:val="00681D9A"/>
    <w:rsid w:val="0068392C"/>
    <w:rsid w:val="006841B7"/>
    <w:rsid w:val="00684718"/>
    <w:rsid w:val="00684DE2"/>
    <w:rsid w:val="00687673"/>
    <w:rsid w:val="006927B9"/>
    <w:rsid w:val="00692A61"/>
    <w:rsid w:val="0069400D"/>
    <w:rsid w:val="006953EF"/>
    <w:rsid w:val="00695EC3"/>
    <w:rsid w:val="006A1AAE"/>
    <w:rsid w:val="006A2650"/>
    <w:rsid w:val="006A30C0"/>
    <w:rsid w:val="006A79D5"/>
    <w:rsid w:val="006B0C28"/>
    <w:rsid w:val="006B15BB"/>
    <w:rsid w:val="006B23C2"/>
    <w:rsid w:val="006B2624"/>
    <w:rsid w:val="006B3DBC"/>
    <w:rsid w:val="006C2E95"/>
    <w:rsid w:val="006C43BC"/>
    <w:rsid w:val="006C4940"/>
    <w:rsid w:val="006C6597"/>
    <w:rsid w:val="006D1AA0"/>
    <w:rsid w:val="006D55CF"/>
    <w:rsid w:val="006D6BDF"/>
    <w:rsid w:val="006E0921"/>
    <w:rsid w:val="006E2863"/>
    <w:rsid w:val="006E3D69"/>
    <w:rsid w:val="006E7ED6"/>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16EE5"/>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AF3"/>
    <w:rsid w:val="00766EFB"/>
    <w:rsid w:val="00767D84"/>
    <w:rsid w:val="007717C0"/>
    <w:rsid w:val="00771926"/>
    <w:rsid w:val="00772F74"/>
    <w:rsid w:val="0077482A"/>
    <w:rsid w:val="00776474"/>
    <w:rsid w:val="0077665D"/>
    <w:rsid w:val="007773A2"/>
    <w:rsid w:val="007778AA"/>
    <w:rsid w:val="007803A1"/>
    <w:rsid w:val="00782D05"/>
    <w:rsid w:val="0078421B"/>
    <w:rsid w:val="00784F0F"/>
    <w:rsid w:val="00785445"/>
    <w:rsid w:val="00790C18"/>
    <w:rsid w:val="00791E29"/>
    <w:rsid w:val="007950F6"/>
    <w:rsid w:val="007955E5"/>
    <w:rsid w:val="00795600"/>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3983"/>
    <w:rsid w:val="007B4198"/>
    <w:rsid w:val="007B431E"/>
    <w:rsid w:val="007B4A25"/>
    <w:rsid w:val="007B7587"/>
    <w:rsid w:val="007C07B3"/>
    <w:rsid w:val="007C1CAC"/>
    <w:rsid w:val="007C2AB0"/>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446B"/>
    <w:rsid w:val="00816182"/>
    <w:rsid w:val="00816AB5"/>
    <w:rsid w:val="008208DB"/>
    <w:rsid w:val="0082291E"/>
    <w:rsid w:val="00823344"/>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D7C"/>
    <w:rsid w:val="008A2BAF"/>
    <w:rsid w:val="008A3C2C"/>
    <w:rsid w:val="008B08A7"/>
    <w:rsid w:val="008B1BC1"/>
    <w:rsid w:val="008B43AD"/>
    <w:rsid w:val="008B4D59"/>
    <w:rsid w:val="008C17EB"/>
    <w:rsid w:val="008C243D"/>
    <w:rsid w:val="008C330D"/>
    <w:rsid w:val="008C35CB"/>
    <w:rsid w:val="008C4CA8"/>
    <w:rsid w:val="008C595A"/>
    <w:rsid w:val="008C65D1"/>
    <w:rsid w:val="008C7867"/>
    <w:rsid w:val="008D042B"/>
    <w:rsid w:val="008D14DE"/>
    <w:rsid w:val="008D2944"/>
    <w:rsid w:val="008D31F6"/>
    <w:rsid w:val="008D4860"/>
    <w:rsid w:val="008D4C17"/>
    <w:rsid w:val="008E177D"/>
    <w:rsid w:val="008E2539"/>
    <w:rsid w:val="008E2A7F"/>
    <w:rsid w:val="008E321A"/>
    <w:rsid w:val="008E534A"/>
    <w:rsid w:val="008E5AE5"/>
    <w:rsid w:val="008E5EDD"/>
    <w:rsid w:val="008E7C88"/>
    <w:rsid w:val="008F0515"/>
    <w:rsid w:val="008F1748"/>
    <w:rsid w:val="008F22AC"/>
    <w:rsid w:val="008F2578"/>
    <w:rsid w:val="008F2FFB"/>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230A"/>
    <w:rsid w:val="0093423F"/>
    <w:rsid w:val="0093605C"/>
    <w:rsid w:val="00936323"/>
    <w:rsid w:val="00936905"/>
    <w:rsid w:val="0094008C"/>
    <w:rsid w:val="00940747"/>
    <w:rsid w:val="00942833"/>
    <w:rsid w:val="00942A86"/>
    <w:rsid w:val="00943650"/>
    <w:rsid w:val="00946799"/>
    <w:rsid w:val="009467B4"/>
    <w:rsid w:val="00947870"/>
    <w:rsid w:val="009518B1"/>
    <w:rsid w:val="00952B5D"/>
    <w:rsid w:val="00953AD0"/>
    <w:rsid w:val="00953B08"/>
    <w:rsid w:val="00955457"/>
    <w:rsid w:val="0095786E"/>
    <w:rsid w:val="00960193"/>
    <w:rsid w:val="00963D52"/>
    <w:rsid w:val="00966FB3"/>
    <w:rsid w:val="00967288"/>
    <w:rsid w:val="009678EB"/>
    <w:rsid w:val="00971018"/>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568F"/>
    <w:rsid w:val="009A6224"/>
    <w:rsid w:val="009A7698"/>
    <w:rsid w:val="009A7E88"/>
    <w:rsid w:val="009B299B"/>
    <w:rsid w:val="009B42B5"/>
    <w:rsid w:val="009B76AA"/>
    <w:rsid w:val="009C03E5"/>
    <w:rsid w:val="009C3AAE"/>
    <w:rsid w:val="009C4442"/>
    <w:rsid w:val="009C6343"/>
    <w:rsid w:val="009D1C01"/>
    <w:rsid w:val="009D2E9C"/>
    <w:rsid w:val="009D4110"/>
    <w:rsid w:val="009D54C0"/>
    <w:rsid w:val="009D79B0"/>
    <w:rsid w:val="009E08E2"/>
    <w:rsid w:val="009E11CF"/>
    <w:rsid w:val="009E3440"/>
    <w:rsid w:val="009E37EB"/>
    <w:rsid w:val="009E398F"/>
    <w:rsid w:val="009E4B99"/>
    <w:rsid w:val="009E5FE4"/>
    <w:rsid w:val="009F14D6"/>
    <w:rsid w:val="009F32EC"/>
    <w:rsid w:val="009F3B5A"/>
    <w:rsid w:val="009F4F9F"/>
    <w:rsid w:val="00A009E9"/>
    <w:rsid w:val="00A012B0"/>
    <w:rsid w:val="00A019EE"/>
    <w:rsid w:val="00A03A7B"/>
    <w:rsid w:val="00A050AE"/>
    <w:rsid w:val="00A051B1"/>
    <w:rsid w:val="00A06730"/>
    <w:rsid w:val="00A06D1F"/>
    <w:rsid w:val="00A07D34"/>
    <w:rsid w:val="00A125DF"/>
    <w:rsid w:val="00A14177"/>
    <w:rsid w:val="00A1464D"/>
    <w:rsid w:val="00A147C5"/>
    <w:rsid w:val="00A1749E"/>
    <w:rsid w:val="00A2201D"/>
    <w:rsid w:val="00A232E0"/>
    <w:rsid w:val="00A2485B"/>
    <w:rsid w:val="00A251DE"/>
    <w:rsid w:val="00A25259"/>
    <w:rsid w:val="00A26661"/>
    <w:rsid w:val="00A2677C"/>
    <w:rsid w:val="00A279F9"/>
    <w:rsid w:val="00A30A2F"/>
    <w:rsid w:val="00A30EBD"/>
    <w:rsid w:val="00A324F4"/>
    <w:rsid w:val="00A33684"/>
    <w:rsid w:val="00A33C62"/>
    <w:rsid w:val="00A348F0"/>
    <w:rsid w:val="00A4052F"/>
    <w:rsid w:val="00A41C91"/>
    <w:rsid w:val="00A444E0"/>
    <w:rsid w:val="00A479E6"/>
    <w:rsid w:val="00A50AA7"/>
    <w:rsid w:val="00A5228E"/>
    <w:rsid w:val="00A5274C"/>
    <w:rsid w:val="00A529D1"/>
    <w:rsid w:val="00A53133"/>
    <w:rsid w:val="00A545FE"/>
    <w:rsid w:val="00A54D55"/>
    <w:rsid w:val="00A55FFA"/>
    <w:rsid w:val="00A61163"/>
    <w:rsid w:val="00A613E0"/>
    <w:rsid w:val="00A616E8"/>
    <w:rsid w:val="00A634FC"/>
    <w:rsid w:val="00A64F18"/>
    <w:rsid w:val="00A6648C"/>
    <w:rsid w:val="00A71E3D"/>
    <w:rsid w:val="00A71EEA"/>
    <w:rsid w:val="00A743D0"/>
    <w:rsid w:val="00A83F3A"/>
    <w:rsid w:val="00A856CC"/>
    <w:rsid w:val="00A8677A"/>
    <w:rsid w:val="00A86EBA"/>
    <w:rsid w:val="00A876DA"/>
    <w:rsid w:val="00A87A00"/>
    <w:rsid w:val="00A9098F"/>
    <w:rsid w:val="00A90E00"/>
    <w:rsid w:val="00A9182C"/>
    <w:rsid w:val="00A94DFD"/>
    <w:rsid w:val="00A95050"/>
    <w:rsid w:val="00A9792F"/>
    <w:rsid w:val="00AA1527"/>
    <w:rsid w:val="00AA1F1D"/>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1E74"/>
    <w:rsid w:val="00AD32EC"/>
    <w:rsid w:val="00AD482F"/>
    <w:rsid w:val="00AD50F8"/>
    <w:rsid w:val="00AD780D"/>
    <w:rsid w:val="00AD79E2"/>
    <w:rsid w:val="00AE0E26"/>
    <w:rsid w:val="00AE0E65"/>
    <w:rsid w:val="00AE20AE"/>
    <w:rsid w:val="00AE26FF"/>
    <w:rsid w:val="00AE2FDD"/>
    <w:rsid w:val="00AE30C2"/>
    <w:rsid w:val="00AE53C7"/>
    <w:rsid w:val="00AE59A1"/>
    <w:rsid w:val="00AE63AE"/>
    <w:rsid w:val="00AE6F53"/>
    <w:rsid w:val="00AE7BCD"/>
    <w:rsid w:val="00AF0B3E"/>
    <w:rsid w:val="00AF1605"/>
    <w:rsid w:val="00AF453F"/>
    <w:rsid w:val="00AF6EF7"/>
    <w:rsid w:val="00AF7D36"/>
    <w:rsid w:val="00B018EF"/>
    <w:rsid w:val="00B01F43"/>
    <w:rsid w:val="00B03363"/>
    <w:rsid w:val="00B06949"/>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0707"/>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500"/>
    <w:rsid w:val="00BF6CB1"/>
    <w:rsid w:val="00BF76AD"/>
    <w:rsid w:val="00C00476"/>
    <w:rsid w:val="00C01501"/>
    <w:rsid w:val="00C01958"/>
    <w:rsid w:val="00C03C80"/>
    <w:rsid w:val="00C03F0E"/>
    <w:rsid w:val="00C0451C"/>
    <w:rsid w:val="00C04C9B"/>
    <w:rsid w:val="00C05024"/>
    <w:rsid w:val="00C05221"/>
    <w:rsid w:val="00C05938"/>
    <w:rsid w:val="00C06E53"/>
    <w:rsid w:val="00C06F76"/>
    <w:rsid w:val="00C11B09"/>
    <w:rsid w:val="00C1568A"/>
    <w:rsid w:val="00C161A9"/>
    <w:rsid w:val="00C201D8"/>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2D5"/>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0504"/>
    <w:rsid w:val="00CC2A51"/>
    <w:rsid w:val="00CC2AE6"/>
    <w:rsid w:val="00CC440E"/>
    <w:rsid w:val="00CC5F46"/>
    <w:rsid w:val="00CC7CE8"/>
    <w:rsid w:val="00CC7E3E"/>
    <w:rsid w:val="00CD225D"/>
    <w:rsid w:val="00CD4449"/>
    <w:rsid w:val="00CD766C"/>
    <w:rsid w:val="00CD7792"/>
    <w:rsid w:val="00CE246F"/>
    <w:rsid w:val="00CE3424"/>
    <w:rsid w:val="00CE4B83"/>
    <w:rsid w:val="00CE6B67"/>
    <w:rsid w:val="00CE75DB"/>
    <w:rsid w:val="00CF03FB"/>
    <w:rsid w:val="00CF0AAE"/>
    <w:rsid w:val="00CF0C11"/>
    <w:rsid w:val="00CF11C0"/>
    <w:rsid w:val="00CF2F5E"/>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5378E"/>
    <w:rsid w:val="00D549AD"/>
    <w:rsid w:val="00D54CB4"/>
    <w:rsid w:val="00D5534E"/>
    <w:rsid w:val="00D554A5"/>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5EF"/>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1E78"/>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3F0E"/>
    <w:rsid w:val="00E769DD"/>
    <w:rsid w:val="00E76BB8"/>
    <w:rsid w:val="00E76EE9"/>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16E6"/>
    <w:rsid w:val="00ED63A5"/>
    <w:rsid w:val="00ED6C9C"/>
    <w:rsid w:val="00ED77AD"/>
    <w:rsid w:val="00ED781B"/>
    <w:rsid w:val="00ED7BE5"/>
    <w:rsid w:val="00EE2461"/>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498"/>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271"/>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1F"/>
    <w:rsid w:val="00F67FE5"/>
    <w:rsid w:val="00F712D8"/>
    <w:rsid w:val="00F72AFD"/>
    <w:rsid w:val="00F762B6"/>
    <w:rsid w:val="00F824AA"/>
    <w:rsid w:val="00F85553"/>
    <w:rsid w:val="00F86BB8"/>
    <w:rsid w:val="00F90C8A"/>
    <w:rsid w:val="00F92B3A"/>
    <w:rsid w:val="00F944DF"/>
    <w:rsid w:val="00F96378"/>
    <w:rsid w:val="00F966F8"/>
    <w:rsid w:val="00F969A6"/>
    <w:rsid w:val="00FA09E2"/>
    <w:rsid w:val="00FA29A1"/>
    <w:rsid w:val="00FA4112"/>
    <w:rsid w:val="00FA5454"/>
    <w:rsid w:val="00FA5A58"/>
    <w:rsid w:val="00FA5C2A"/>
    <w:rsid w:val="00FB5C93"/>
    <w:rsid w:val="00FB6506"/>
    <w:rsid w:val="00FB7AF2"/>
    <w:rsid w:val="00FC0D5B"/>
    <w:rsid w:val="00FC3409"/>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9415C"/>
    <w:pPr>
      <w:numPr>
        <w:numId w:val="1"/>
      </w:numPr>
      <w:autoSpaceDE/>
      <w:autoSpaceDN/>
      <w:adjustRightInd/>
      <w:spacing w:after="120"/>
      <w:contextualSpacing w:val="0"/>
    </w:pPr>
    <w:rPr>
      <w:rFonts w:ascii="Times New Roman" w:hAnsi="Times New Roman" w:cs="Times New Roman"/>
      <w:color w:val="auto"/>
    </w:rPr>
  </w:style>
  <w:style w:type="character" w:customStyle="1" w:styleId="BoxText">
    <w:name w:val="Box Text"/>
    <w:basedOn w:val="DefaultParagraphFont"/>
    <w:rsid w:val="0049415C"/>
    <w:rPr>
      <w:rFonts w:ascii="Arial" w:hAnsi="Arial"/>
      <w:b/>
      <w:sz w:val="20"/>
    </w:rPr>
  </w:style>
  <w:style w:type="paragraph" w:styleId="List2">
    <w:name w:val="List 2"/>
    <w:basedOn w:val="Normal"/>
    <w:uiPriority w:val="99"/>
    <w:semiHidden/>
    <w:unhideWhenUsed/>
    <w:rsid w:val="0049415C"/>
    <w:pPr>
      <w:ind w:left="720" w:hanging="360"/>
      <w:contextualSpacing/>
    </w:pPr>
  </w:style>
  <w:style w:type="paragraph" w:customStyle="1" w:styleId="Measure">
    <w:name w:val="Measure"/>
    <w:basedOn w:val="Requirement"/>
    <w:rsid w:val="0049415C"/>
    <w:pPr>
      <w:numPr>
        <w:numId w:val="2"/>
      </w:numPr>
      <w:tabs>
        <w:tab w:val="left" w:pos="936"/>
      </w:tabs>
    </w:pPr>
  </w:style>
  <w:style w:type="paragraph" w:customStyle="1" w:styleId="Section">
    <w:name w:val="Section"/>
    <w:basedOn w:val="Normal"/>
    <w:next w:val="ListNumber"/>
    <w:uiPriority w:val="99"/>
    <w:rsid w:val="006953EF"/>
    <w:pPr>
      <w:numPr>
        <w:numId w:val="16"/>
      </w:numPr>
      <w:tabs>
        <w:tab w:val="left" w:pos="1080"/>
      </w:tabs>
      <w:autoSpaceDE/>
      <w:autoSpaceDN/>
      <w:adjustRightInd/>
      <w:spacing w:after="120"/>
    </w:pPr>
    <w:rPr>
      <w:rFonts w:cs="Times New Roman"/>
      <w:b/>
      <w:color w:val="auto"/>
    </w:rPr>
  </w:style>
  <w:style w:type="paragraph" w:styleId="ListNumber">
    <w:name w:val="List Number"/>
    <w:basedOn w:val="Normal"/>
    <w:rsid w:val="006953EF"/>
    <w:pPr>
      <w:numPr>
        <w:numId w:val="15"/>
      </w:numPr>
      <w:tabs>
        <w:tab w:val="left" w:pos="2160"/>
      </w:tabs>
      <w:autoSpaceDE/>
      <w:autoSpaceDN/>
      <w:adjustRightInd/>
      <w:spacing w:after="120"/>
    </w:pPr>
    <w:rPr>
      <w:rFonts w:ascii="Times New Roman" w:hAnsi="Times New Roman" w:cs="Times New Roman"/>
      <w:color w:val="auto"/>
    </w:rPr>
  </w:style>
  <w:style w:type="paragraph" w:customStyle="1" w:styleId="BodyIndent2">
    <w:name w:val="Body Indent 2"/>
    <w:basedOn w:val="Normal"/>
    <w:rsid w:val="006953EF"/>
    <w:pPr>
      <w:autoSpaceDE/>
      <w:autoSpaceDN/>
      <w:adjustRightInd/>
      <w:spacing w:after="120"/>
      <w:ind w:left="1440"/>
    </w:pPr>
    <w:rPr>
      <w:rFonts w:ascii="Times New Roman" w:hAnsi="Times New Roman" w:cs="Times New Roman"/>
      <w:color w:val="auto"/>
    </w:rPr>
  </w:style>
  <w:style w:type="paragraph" w:customStyle="1" w:styleId="Table">
    <w:name w:val="Table"/>
    <w:basedOn w:val="Normal"/>
    <w:rsid w:val="006953EF"/>
    <w:pPr>
      <w:autoSpaceDE/>
      <w:autoSpaceDN/>
      <w:adjustRightInd/>
      <w:spacing w:before="60" w:after="60"/>
    </w:pPr>
    <w:rPr>
      <w:rFonts w:ascii="Times New Roman" w:hAnsi="Times New Roman" w:cs="Times New Roman"/>
      <w:b/>
      <w:color w:val="auto"/>
      <w:szCs w:val="22"/>
    </w:rPr>
  </w:style>
  <w:style w:type="paragraph" w:styleId="ListBullet2">
    <w:name w:val="List Bullet 2"/>
    <w:basedOn w:val="Normal"/>
    <w:rsid w:val="006953EF"/>
    <w:pPr>
      <w:numPr>
        <w:ilvl w:val="1"/>
        <w:numId w:val="18"/>
      </w:numPr>
      <w:autoSpaceDE/>
      <w:autoSpaceDN/>
      <w:adjustRightInd/>
      <w:spacing w:after="120"/>
    </w:pPr>
    <w:rPr>
      <w:rFonts w:ascii="Times New Roman" w:hAnsi="Times New Roman" w:cs="Times New Roman"/>
      <w:color w:val="auto"/>
      <w:sz w:val="22"/>
    </w:rPr>
  </w:style>
  <w:style w:type="character" w:customStyle="1" w:styleId="FERCparanumberChar">
    <w:name w:val="FERC paranumber Char"/>
    <w:link w:val="FERCparanumber"/>
    <w:rsid w:val="00220AF2"/>
    <w:rPr>
      <w:sz w:val="26"/>
    </w:rPr>
  </w:style>
  <w:style w:type="paragraph" w:customStyle="1" w:styleId="FERCparanumber">
    <w:name w:val="FERC paranumber"/>
    <w:basedOn w:val="Normal"/>
    <w:link w:val="FERCparanumberChar"/>
    <w:rsid w:val="00220AF2"/>
    <w:pPr>
      <w:tabs>
        <w:tab w:val="num" w:pos="720"/>
      </w:tabs>
      <w:spacing w:after="240"/>
    </w:pPr>
    <w:rPr>
      <w:rFonts w:asciiTheme="minorHAnsi" w:hAnsiTheme="minorHAnsi" w:cs="Times New Roman"/>
      <w:sz w:val="26"/>
    </w:rPr>
  </w:style>
  <w:style w:type="paragraph" w:styleId="PlainText">
    <w:name w:val="Plain Text"/>
    <w:basedOn w:val="Normal"/>
    <w:link w:val="PlainTextChar"/>
    <w:uiPriority w:val="99"/>
    <w:semiHidden/>
    <w:unhideWhenUsed/>
    <w:rsid w:val="00E76EE9"/>
    <w:pPr>
      <w:autoSpaceDE/>
      <w:autoSpaceDN/>
      <w:adjustRightInd/>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E76EE9"/>
    <w:rPr>
      <w:rFonts w:ascii="Calibri" w:eastAsiaTheme="minorHAnsi" w:hAnsi="Calibri" w:cs="Consolas"/>
      <w:color w:val="auto"/>
      <w:sz w:val="22"/>
      <w:szCs w:val="21"/>
    </w:rPr>
  </w:style>
  <w:style w:type="character" w:customStyle="1" w:styleId="st1">
    <w:name w:val="st1"/>
    <w:basedOn w:val="DefaultParagraphFont"/>
    <w:rsid w:val="009B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2932848">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nerc.com/FilingsOrders/us/FERCOrdersRules/Order_713_Modified-INT_and_TLR-Stds-07212008.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erc.com/FilingsOrders/us/FERCOrdersRules/INT%20Letter%20Order.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_713_Modified-INT_and_TLR-Stds-07212008.pdfhttp:/www.nerc.com/FilingsOrders/us/FERCOrdersRules/Order_713_Modified-INT_and_TLR-Stds-0721200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693.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nerc.com/FilingsOrders/us/FERCOrdersRules/ORDER%2069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INT-004-3.1</Number>
    <Date xmlns="078344ff-8d50-4bff-90aa-a5f449462ba4">2018-03-22T04:00:00+00:00</Dat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E637A-240D-421D-8780-348051C5B1F9}"/>
</file>

<file path=customXml/itemProps2.xml><?xml version="1.0" encoding="utf-8"?>
<ds:datastoreItem xmlns:ds="http://schemas.openxmlformats.org/officeDocument/2006/customXml" ds:itemID="{55B4147F-A8DA-4DA3-9A64-BE57BEFC0350}"/>
</file>

<file path=customXml/itemProps3.xml><?xml version="1.0" encoding="utf-8"?>
<ds:datastoreItem xmlns:ds="http://schemas.openxmlformats.org/officeDocument/2006/customXml" ds:itemID="{ABDC3244-A70E-456B-996F-F428CE03A9CB}"/>
</file>

<file path=customXml/itemProps4.xml><?xml version="1.0" encoding="utf-8"?>
<ds:datastoreItem xmlns:ds="http://schemas.openxmlformats.org/officeDocument/2006/customXml" ds:itemID="{F8A4DDDB-6F68-49D7-AF9B-9C4CDF927AB9}"/>
</file>

<file path=customXml/itemProps5.xml><?xml version="1.0" encoding="utf-8"?>
<ds:datastoreItem xmlns:ds="http://schemas.openxmlformats.org/officeDocument/2006/customXml" ds:itemID="{E70C8AEC-8DAD-4803-BECF-E08A7DBC8F58}"/>
</file>

<file path=docProps/app.xml><?xml version="1.0" encoding="utf-8"?>
<Properties xmlns="http://schemas.openxmlformats.org/officeDocument/2006/extended-properties" xmlns:vt="http://schemas.openxmlformats.org/officeDocument/2006/docPropsVTypes">
  <Template>Normal</Template>
  <TotalTime>0</TotalTime>
  <Pages>1</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Dynamic Transfers</vt:lpstr>
    </vt:vector>
  </TitlesOfParts>
  <LinksUpToDate>false</LinksUpToDate>
  <CharactersWithSpaces>14562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Transfers</dc:title>
  <dc:creator/>
  <cp:lastModifiedBy/>
  <cp:revision>1</cp:revision>
  <dcterms:created xsi:type="dcterms:W3CDTF">2018-04-09T17:19:00Z</dcterms:created>
  <dcterms:modified xsi:type="dcterms:W3CDTF">2018-04-09T17:19:00Z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9cd77507-66b0-4719-bedc-ddc21d647cc7</vt:lpwstr>
  </property>
  <property fmtid="{D5CDD505-2E9C-101B-9397-08002B2CF9AE}" pid="4" name="TemplateUrl">
    <vt:lpwstr/>
  </property>
  <property fmtid="{D5CDD505-2E9C-101B-9397-08002B2CF9AE}" pid="5" name="Order">
    <vt:r8>37400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